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464C6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湖北省加快氢能产业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规模商用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可持续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发展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br w:type="textWrapping"/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行动方案（2026—2030年）</w:t>
      </w:r>
    </w:p>
    <w:p w14:paraId="37A0AF73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hint="eastAsia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征求意见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</w:rPr>
        <w:t>稿）</w:t>
      </w:r>
    </w:p>
    <w:p w14:paraId="69590904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</w:p>
    <w:p w14:paraId="3AAFFFB0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为贯彻落实省委、省政府关于发展未来产业的战略部署，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充分发挥湖北在氢能领域“技术创新、产业基础和应用空间”等方面的比较优势，聚焦应用场景创新和商业模式构建，科学务实推动全省氢能规模化商用与产业可持续发展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，特制定本行动方案。力争到2030年，全省氢能产业规模突破1000亿元，氢能车辆推广应用达到7000辆，可再生能源年制氢规模达到3万吨，加氢网络全域覆盖，商用模式形成闭环，构建起自主可控、协同联动、经济高效的氢能产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创新生态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。</w:t>
      </w:r>
    </w:p>
    <w:p w14:paraId="527DCA0C">
      <w:pPr>
        <w:pStyle w:val="2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  <w:lang w:bidi="ar"/>
        </w:rPr>
        <w:t>一、聚焦全栈式技术突破，塑造局部领先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eastAsia="zh-CN" w:bidi="ar"/>
        </w:rPr>
        <w:t>优势</w:t>
      </w:r>
    </w:p>
    <w:p w14:paraId="3CDCA44E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（一）制氢领域重点突破功率提升技术。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着力突破高效低成本电解水制氢、甲醇重整制氢、生物质气化制氢、化石制氢碳捕集利用、氢气衍生品制备等关键技术。加快研制经济型ALK（碱性）电解槽、高压PEM（质子交换膜）制氢、固体氧化物电解池等核心装置及零部件，攻关耐高压密封结构优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大功率、低电耗、宽负荷等技术。</w:t>
      </w:r>
    </w:p>
    <w:p w14:paraId="1736C1B1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（二）储运领域重点突破耐久可靠技术。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储氢环节，持续提升岩洞储氢、盐穴储氢、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氢油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等有机化合物储氢的技术优势，前瞻布局镁基等固态储氢，攻关液氢低温绝热、高效氢气压缩机等核心瓶颈，推进Ⅳ型碳纤维储氢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罐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、光纤传感监测型高压储氢装备等产品开发。运氢环节，重点攻关抗氢脆高性能材料、氢气增压运输和长距离、规模化氢气管输成套技术，推进纯氢输送管件和大容积轻量化长管拖车等运氢装置研制。</w:t>
      </w:r>
    </w:p>
    <w:p w14:paraId="3E1E54FC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35" w:firstLineChars="200"/>
        <w:textAlignment w:val="auto"/>
        <w:rPr>
          <w:rFonts w:ascii="Times New Roman" w:hAnsi="Times New Roman" w:eastAsia="仿宋_GB2312" w:cs="Times New Roman"/>
          <w:color w:val="000000"/>
          <w:spacing w:val="-2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spacing w:val="-2"/>
          <w:kern w:val="0"/>
          <w:sz w:val="32"/>
          <w:szCs w:val="32"/>
          <w:lang w:bidi="ar"/>
        </w:rPr>
        <w:t>（三）加注领域重点突破高速稳定技术。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2"/>
          <w:kern w:val="0"/>
          <w:sz w:val="32"/>
          <w:szCs w:val="32"/>
          <w:lang w:eastAsia="zh-CN" w:bidi="ar"/>
        </w:rPr>
        <w:t>着力</w:t>
      </w:r>
      <w:r>
        <w:rPr>
          <w:rFonts w:ascii="Times New Roman" w:hAnsi="Times New Roman" w:eastAsia="仿宋_GB2312" w:cs="Times New Roman"/>
          <w:color w:val="000000"/>
          <w:spacing w:val="-2"/>
          <w:kern w:val="0"/>
          <w:sz w:val="32"/>
          <w:szCs w:val="32"/>
          <w:lang w:bidi="ar"/>
        </w:rPr>
        <w:t>突破70兆帕高压预冷、大流量快速加氢等核心技术，攻坚加注瞬时温升精准调控、高压管路全程气密实时监测等关键卡点。迭代开发固定加氢成套模块、矿区撬装加氢装置、风光制加氢一体化成套装备，同步配套研发加氢流量智能调节、负荷动态匹配、远程运维一体化电控系统，全面提升设备加注速度与长周期连续运行稳定性。</w:t>
      </w:r>
    </w:p>
    <w:p w14:paraId="236D6F27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（四）应用领域重点突破高端集成技术。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持续做强做精氢能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重卡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和冷链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运输车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等产品矩阵，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集中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突破能量管理、轻量化等技术难题。持续开发高效率、长寿命、低成本氢能动力系统，加快形成大功率氢燃料电池、氢氨内燃动力系统验证能力，推进氢内燃机（增程式）货船下水验证和兆瓦级船用燃料电池系统方案落地。支持高校院所围绕智能能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系统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、氢能高铁、氢能支线飞机、氢燃料航空发动机等高端领域开展前瞻研究。</w:t>
      </w:r>
    </w:p>
    <w:p w14:paraId="2AE13B37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（五）共性领域重点突破</w:t>
      </w:r>
      <w:r>
        <w:rPr>
          <w:rFonts w:hint="eastAsia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eastAsia="zh-CN" w:bidi="ar"/>
        </w:rPr>
        <w:t>自主可控</w:t>
      </w: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技术。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集中攻关、稳步推进低载量贵金属膜电极、长耐腐蚀双极板、高精度氢喷射总成、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低铂催化剂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卡脖子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核心部件实现国产替代。优化氢能装置硬件适配性与软件控制逻辑，攻关氢气泄漏在线实时监测、整机一体化热平衡管控、多动力单元协同控制等技术，研发氢控芯片、高精度氢气浓度传感器等产品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形成标准化的装备集成工艺和控制系统方案。</w:t>
      </w:r>
    </w:p>
    <w:p w14:paraId="61B9FA52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二、聚势全品系场景应用，打造规模商用样板</w:t>
      </w:r>
    </w:p>
    <w:p w14:paraId="678DE984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（六）拓展车辆领域应用场景。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主动对接国家氢能高速示范线建设，重点在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汉宜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汉十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武黄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黄黄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等高速公路打造氢能示范路段，打通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鄂渝川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鄂湘粤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等跨省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氢能物流通道。依托氢能交通数智化等平台，为整车企业提供长距离重载路测场景。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冷链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物流、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长途货运、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工程装备、港口作业等领域，加快推广置换氢燃料电池货车、氢能叉车。在城市公交、市政环卫等公共领域，有序推广应用氢能客车和氢能专用车。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鼓励有条件的地方开展氢能共享两轮车试点。</w:t>
      </w:r>
    </w:p>
    <w:p w14:paraId="36B6A9B9">
      <w:pPr>
        <w:pStyle w:val="2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color w:val="000000"/>
          <w:sz w:val="32"/>
          <w:szCs w:val="32"/>
          <w:lang w:bidi="ar"/>
        </w:rPr>
        <w:t>（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 w:bidi="ar"/>
        </w:rPr>
        <w:t>七</w:t>
      </w:r>
      <w:r>
        <w:rPr>
          <w:rFonts w:ascii="Times New Roman" w:hAnsi="Times New Roman" w:eastAsia="楷体_GB2312" w:cs="Times New Roman"/>
          <w:color w:val="000000"/>
          <w:sz w:val="32"/>
          <w:szCs w:val="32"/>
          <w:lang w:bidi="ar"/>
        </w:rPr>
        <w:t>）拓展工业、能源领域应用场景。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在化工园区推动氢氨醇一体化发展，推广氢能合成氨、绿色甲醇制取等绿色精制工艺，鼓励高耗能行业开展绿氨掺烧应用。推动钢铁、化工企业开展焦炉煤气、氯碱副产氢提纯改造，支持布局氢基竖炉低碳冶金、碳捕集利用与封存等先进工艺。扩大高纯氢在半导体、新型显示等高端领域应用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"/>
        </w:rPr>
        <w:t>推进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绿色甲醇、可持续航空燃料等氢基绿色燃料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"/>
        </w:rPr>
        <w:t>替代应用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。将氢储能纳入新能源配套储能体系，依托富余电力开展制氢储能、电网调频调峰试点。布局燃料电池分布式发电、热电联供设施，稳步推进天然气掺氢规模化应用，开展燃气轮机掺氢示范应用。</w:t>
      </w:r>
    </w:p>
    <w:p w14:paraId="4AA4774D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eastAsia="zh-CN" w:bidi="ar"/>
        </w:rPr>
        <w:t>八</w:t>
      </w: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）拓展船舶、航空领域应用场景。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深入实施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氢化长江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行动，完善内河船舶加氢、运维和安全监管服务，在短途驳运、旅游观光、水上巡逻等场景推广氢能船舶。依托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长江流域货运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需求，探索绿色氢基燃料货船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LNG掺氢货船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试点航线，打造内河运输绿色低碳示范线路。多领域开展长航时、低运维成本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氢能无人机系统特性验证与整机适航取证，推动在消防救援、电力巡检、工业测绘等领域开展应用示范。</w:t>
      </w:r>
    </w:p>
    <w:p w14:paraId="5DAF1820">
      <w:pPr>
        <w:pStyle w:val="2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color w:val="000000"/>
          <w:sz w:val="32"/>
          <w:szCs w:val="32"/>
          <w:lang w:bidi="ar"/>
        </w:rPr>
        <w:t>（九）拓展协同互通的综合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 w:bidi="ar"/>
        </w:rPr>
        <w:t>应用</w:t>
      </w:r>
      <w:r>
        <w:rPr>
          <w:rFonts w:ascii="Times New Roman" w:hAnsi="Times New Roman" w:eastAsia="楷体_GB2312" w:cs="Times New Roman"/>
          <w:color w:val="000000"/>
          <w:sz w:val="32"/>
          <w:szCs w:val="32"/>
          <w:lang w:bidi="ar"/>
        </w:rPr>
        <w:t>生态。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鼓励企业、科研院所等积极主导、参与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制储运加用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全链条的国家、行业标准制修订，推进加氢接口、安全规范、检验认证等规则在不同场景间统一互认。因地制宜推广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绿电制氢—车船消纳—工业备用—余量储能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等区域发展模式，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"/>
        </w:rPr>
        <w:t>拓展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共享共建+托管运营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等商业模式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"/>
        </w:rPr>
        <w:t>和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"/>
        </w:rPr>
        <w:t>氢能智慧管控等新业态，实现氢能源梯次利用、余缺调剂。支持武汉、宜昌等地推进工业副产氢多场景循环利用，鼓励钢铁、化工企业之间互供气源，实现以氢降碳。</w:t>
      </w:r>
    </w:p>
    <w:p w14:paraId="66AA5359">
      <w:pPr>
        <w:pStyle w:val="2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  <w:lang w:bidi="ar"/>
        </w:rPr>
        <w:t>三、聚力全链条降本增效，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eastAsia="zh-CN" w:bidi="ar"/>
        </w:rPr>
        <w:t>实现稳定健康发展</w:t>
      </w:r>
    </w:p>
    <w:p w14:paraId="078707C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（十）降低技术转化成本。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积极争取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省燃料电池重点实验室、制氢加氢装备检验检测中心等创建国家级平台，布局建设氢能实证实验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等协作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平台，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推动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建立规范化、市场化的共享机制，有效降低企业研发验证环节的固定资产投入。支持企业合理布局概念验证中心、产业创新中心等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功能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，与高校院所共建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技术适配车间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和制造业中试平台，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依托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国家技术转移中部中心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载体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，加快成熟适用技术的规模化推广应用。</w:t>
      </w:r>
    </w:p>
    <w:p w14:paraId="1D59F14F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（十一）降低氢源供应成本。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在水电和风光资源丰富的地区，</w:t>
      </w:r>
      <w:r>
        <w:rPr>
          <w:rFonts w:ascii="Times New Roman" w:hAnsi="Times New Roman" w:eastAsia="仿宋_GB2312" w:cs="Times New Roman"/>
          <w:color w:val="000000"/>
          <w:kern w:val="21"/>
          <w:sz w:val="32"/>
          <w:szCs w:val="32"/>
        </w:rPr>
        <w:t>有序推进规模化绿氢制备示范，</w:t>
      </w:r>
      <w:r>
        <w:rPr>
          <w:rFonts w:hint="eastAsia" w:ascii="Times New Roman" w:hAnsi="Times New Roman" w:eastAsia="仿宋_GB2312" w:cs="Times New Roman"/>
          <w:color w:val="000000"/>
          <w:kern w:val="21"/>
          <w:sz w:val="32"/>
          <w:szCs w:val="32"/>
        </w:rPr>
        <w:t>对符合条件的绿氢配套新能源项目做好接网服务保障，支持开展绿电直连、离网制氢示范</w:t>
      </w:r>
      <w:r>
        <w:rPr>
          <w:rFonts w:ascii="Times New Roman" w:hAnsi="Times New Roman" w:eastAsia="仿宋_GB2312" w:cs="Times New Roman"/>
          <w:color w:val="000000"/>
          <w:kern w:val="21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支持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省内有条件的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化工园区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配套建设集中式氢气提纯、分级提纯等设施。鼓励央国企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在湖北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建立区域性的氢源供应基地。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引导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支持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钢铁、化工企业开展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技术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改造，提升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工业副产氢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产出效率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与纯度质量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。推动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供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氢企业与周边工业用户、交通运营主体签订长期直供协议，</w:t>
      </w:r>
      <w:r>
        <w:rPr>
          <w:rFonts w:ascii="Times New Roman" w:hAnsi="Times New Roman" w:eastAsia="仿宋_GB2312" w:cs="Times New Roman"/>
          <w:color w:val="000000"/>
          <w:kern w:val="21"/>
          <w:sz w:val="32"/>
          <w:szCs w:val="32"/>
        </w:rPr>
        <w:t>打通氢源直供链路，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减少流通环节交易成本</w:t>
      </w:r>
      <w:r>
        <w:rPr>
          <w:rFonts w:ascii="Times New Roman" w:hAnsi="Times New Roman" w:eastAsia="仿宋_GB2312" w:cs="Times New Roman"/>
          <w:color w:val="000000"/>
          <w:kern w:val="21"/>
          <w:sz w:val="32"/>
          <w:szCs w:val="32"/>
        </w:rPr>
        <w:t>。</w:t>
      </w:r>
    </w:p>
    <w:p w14:paraId="3084DD40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（十二）降低装备制造成本。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推进各城市间错位发展、互联互补，防范氢燃料电池等产能同质化重复建设。充分发挥链主企业的战略引领与资源整合作用，稳步开放配套供需体系与市场资源，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吸引带动专用传感器、压缩机、氢气循环系统等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上下游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集聚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健康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发展。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积极推进服务型制造，加快推广智能生产、数字孪生、产能柔性共享等工艺管控体系，布局发展检测认证、远程运维、安全评估等新业态，降低综合经营成本。增强模块化、标准化产品供给，进一步提升我省氢能重卡的价格优势。</w:t>
      </w:r>
    </w:p>
    <w:p w14:paraId="7CA121ED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（十三）织密氢能加注网络。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按照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适度超前、布局合理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原则，在高速公路服务区、港口码头、园区矿场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及周边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等区域有序推进加氢站等综合能源补给站建设，探索站内制加氢一体化、移动式加氢等新模式，构建覆盖全省、辐射周边的加氢设施网络。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支持岩洞储氢、盐穴储氢、有机液体储氢等长周期规模化储氢试点，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稳步推进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管网输氢布局。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推动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周边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省份共同构建跨区域的氢能供应、运输等基础设施体系和标准。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力争到2030年，主要城市的市场化终端用氢平均价格降至25元/公斤左右。</w:t>
      </w:r>
    </w:p>
    <w:p w14:paraId="707350B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四、聚合全方位政策保障，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营造一流营商环境</w:t>
      </w:r>
    </w:p>
    <w:p w14:paraId="51F10428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（十四）强化政策支持力度。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积极申报并支持国家氢能综合应用试点、能源领域氢能区域试点等各类试点示范建设，争取国家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两重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两新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、氢能重点研发计划专项、绿氢消纳等政策资金。统筹省级制造业高质量发展专项、科技领域专项、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尖刀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技术攻关工程等各类资金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持续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支持氢能全链条技术攻关。持续推进实施氢能车辆高速公路通行免费等政策。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鼓励各市州依法依规制定本地支持氢能产业规模商用的引导政策。</w:t>
      </w:r>
    </w:p>
    <w:p w14:paraId="563EE4D3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（十五）优化项目审批流程。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加氢站参照天然气加气站模式进行审批和管理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bidi="ar"/>
        </w:rPr>
        <w:t>，厘清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各环节基础要求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bidi="ar"/>
        </w:rPr>
        <w:t>与监管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职责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持续落实加氢站属地备案、油站加氢改造简化用地、风光配套制加氢一体站简化流程、可再生能源制氢项目依规豁免危险化学品安全生产许可等便利政策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。支持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各市州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建立涉氢项目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跨部门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协调机制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，推行制氢、加氢站、园区输氢、风光氢储一体化等项目并联审批，压缩周期。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鼓励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条件成熟的市州在安全有序的前提下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探索更为系统合理的氢能产业促进和监管体系，确保既“放得活”又“管得好”。</w:t>
      </w:r>
    </w:p>
    <w:p w14:paraId="437A7053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（十六）完善综合服务体系。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组建氢能产业联盟，带动企业间联合开展攻关应用和市场推广。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积极推动国家氢能产业相关基金、国资基金、政府引导基金共同参与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做强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省级氢能产业基金，联动绿色债券、融资租赁等多元金融工具，拓宽融资渠道。建立氢能企业梯度培育库，分层培育上市企业、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专精特新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及科技领军企业，构建稳固的人才支撑体系和高端人才保障机制。探索在省生态环境权益交易平台开展绿色燃料权益全流程业务试点，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建立健全体现绿色燃料减排价值的碳核算机制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鼓励支持可再生能源制氢氨醇等绿色燃料消费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0E17ABE2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lang w:bidi="ar"/>
        </w:rPr>
        <w:t>（十七）加强氢能安全管理。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强化氢能安全宣传教育与科普引导，广泛普及氢气储运、使用安全要点及突发事件处置规范，营造安全有序的产业发展环境。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指导企业建立常态化隐患排查整改机制，完善涉氢安全管理制度和规范使用流程，压实安全生产主体责任。健全氢能领域分级应急救援预案体系，针对加氢站、水域应用、地下储氢等高风险场景定期开展专项应急演练，牢牢守住安全底线。</w:t>
      </w:r>
    </w:p>
    <w:p w14:paraId="4B31C219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color w:val="0000FF"/>
        </w:rPr>
      </w:pPr>
    </w:p>
    <w:p w14:paraId="664F13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3A7255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60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704042-0F28-4F8A-A494-DBBC34BD0F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DF4C51-B475-4939-B5F0-922FB9E7119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D9BE4E-3117-4EE0-9DFF-5EC9D5300D7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2C88E58-EFD4-4022-88DF-01651A2E5B55}"/>
  </w:font>
  <w:font w:name="方正小标宋_GBK">
    <w:panose1 w:val="02000000000000000000"/>
    <w:charset w:val="86"/>
    <w:family w:val="script"/>
    <w:pitch w:val="default"/>
    <w:sig w:usb0="A00002BF" w:usb1="38CF7CFA" w:usb2="0008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8896026-2FA7-46FF-B6D0-36A11676688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PSEMBED1">
    <w:panose1 w:val="02000000000000000000"/>
    <w:charset w:val="86"/>
    <w:family w:val="auto"/>
    <w:pitch w:val="default"/>
    <w:sig w:usb0="A00002BF" w:usb1="38CF7CFA" w:usb2="0008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9A6D9">
    <w:pPr>
      <w:pStyle w:val="3"/>
      <w:jc w:val="right"/>
      <w:rPr>
        <w:rFonts w:hint="eastAsia" w:ascii="仿宋_GB2312" w:eastAsia="仿宋_GB2312"/>
        <w:sz w:val="24"/>
      </w:rPr>
    </w:pPr>
    <w:r>
      <w:rPr>
        <w:rFonts w:hint="eastAsia" w:ascii="仿宋_GB2312" w:eastAsia="仿宋_GB2312"/>
        <w:sz w:val="24"/>
      </w:rPr>
      <w:t xml:space="preserve">— </w:t>
    </w:r>
    <w:r>
      <w:rPr>
        <w:rFonts w:ascii="Times New Roman" w:hAnsi="Times New Roman" w:eastAsia="仿宋_GB2312"/>
        <w:sz w:val="24"/>
      </w:rPr>
      <w:fldChar w:fldCharType="begin"/>
    </w:r>
    <w:r>
      <w:rPr>
        <w:rFonts w:ascii="Times New Roman" w:hAnsi="Times New Roman" w:eastAsia="仿宋_GB2312"/>
        <w:sz w:val="24"/>
      </w:rPr>
      <w:instrText xml:space="preserve"> PAGE   \* MERGEFORMAT </w:instrText>
    </w:r>
    <w:r>
      <w:rPr>
        <w:rFonts w:ascii="Times New Roman" w:hAnsi="Times New Roman" w:eastAsia="仿宋_GB2312"/>
        <w:sz w:val="24"/>
      </w:rPr>
      <w:fldChar w:fldCharType="separate"/>
    </w:r>
    <w:r>
      <w:rPr>
        <w:rFonts w:ascii="Times New Roman" w:hAnsi="Times New Roman" w:eastAsia="仿宋_GB2312"/>
        <w:sz w:val="24"/>
        <w:lang w:val="zh-CN"/>
      </w:rPr>
      <w:t>1</w:t>
    </w:r>
    <w:r>
      <w:rPr>
        <w:rFonts w:ascii="Times New Roman" w:hAnsi="Times New Roman" w:eastAsia="仿宋_GB2312"/>
        <w:sz w:val="24"/>
      </w:rPr>
      <w:fldChar w:fldCharType="end"/>
    </w:r>
    <w:r>
      <w:rPr>
        <w:rFonts w:hint="eastAsia" w:ascii="仿宋_GB2312" w:eastAsia="仿宋_GB2312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E5E05"/>
    <w:rsid w:val="20DE5E05"/>
    <w:rsid w:val="77D1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 w:val="0"/>
      <w:spacing w:before="100" w:beforeAutospacing="1" w:after="100" w:afterAutospacing="1"/>
      <w:ind w:left="0" w:right="0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af11a72c-bd71-41ab-bb3d-34ded41d6702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4D24D1C2</paraID>
      <start>59</start>
      <end>60</end>
      <status>modified</status>
      <modifiedWord>—</modifiedWord>
      <trackRevisions>false</trackRevisions>
    </reviewItem>
    <reviewItem>
      <errorID>0d31503b-67ff-4036-b36f-edd4f4829740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E36A98E</paraID>
      <start>4</start>
      <end>5</end>
      <status>modified</status>
      <modifiedWord>：</modifiedWord>
      <trackRevisions>false</trackRevisions>
    </reviewItem>
    <reviewItem>
      <errorID>a88a72a0-8160-4400-a786-24a4e70fd819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 6173FA</paraID>
      <start>4</start>
      <end>5</end>
      <status>modified</status>
      <modifiedWord>：</modifiedWord>
      <trackRevisions>false</trackRevisions>
    </reviewItem>
    <reviewItem>
      <errorID>791ccfdf-4367-40fb-9afe-74e1dca7b11b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7E3106B</paraID>
      <start>4</start>
      <end>5</end>
      <status>modified</status>
      <modifiedWord>：</modifiedWord>
      <trackRevisions>false</trackRevisions>
    </reviewItem>
    <reviewItem>
      <errorID>1150d1cd-a7fa-4cf2-91ef-856e2045390a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7B4B4C8D</paraID>
      <start>2</start>
      <end>3</end>
      <status>modified</status>
      <modifiedWord>：</modifiedWord>
      <trackRevisions>false</trackRevisions>
    </reviewItem>
    <reviewItem>
      <errorID>b65be21d-41be-48d2-acf9-babc63e40e9a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70AE9F79</paraID>
      <start>2</start>
      <end>3</end>
      <status>modified</status>
      <modifiedWord>：</modifiedWord>
      <trackRevisions>false</trackRevisions>
    </reviewItem>
    <reviewItem>
      <errorID>0bf9be4b-6813-4e0f-b46d-a2c84fdcaaca</errorID>
      <errorWord>国企</errorWord>
      <group>L1_Word</group>
      <groupName>字词问题</groupName>
      <ability>L2_Typo</ability>
      <abilityName>字词错误</abilityName>
      <candidateList>
        <item>属国企</item>
      </candidateList>
      <explain/>
      <paraID>1D59F14F</paraID>
      <start>116</start>
      <end>118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2b09c05-1119-43a8-b03a-fb4424ccb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4000</Words>
  <Characters>4080</Characters>
  <Lines>0</Lines>
  <Paragraphs>0</Paragraphs>
  <TotalTime>1</TotalTime>
  <ScaleCrop>false</ScaleCrop>
  <LinksUpToDate>false</LinksUpToDate>
  <CharactersWithSpaces>4082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2026-09-01T01:02:00Z</dcterms:created>
  <dc:creator>YMT</dc:creator>
  <cp:lastModifiedBy>Fallin out</cp:lastModifiedBy>
  <dcterms:modified xsi:type="dcterms:W3CDTF">2026-09-01T01:43:04Z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8688C2F16427479794C9A8E88C3B1AE9_13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