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035B2D">
      <w:pPr>
        <w:jc w:val="left"/>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附件2</w:t>
      </w:r>
    </w:p>
    <w:p w14:paraId="6691B0B1">
      <w:pPr>
        <w:jc w:val="center"/>
        <w:rPr>
          <w:rFonts w:hint="eastAsia" w:ascii="黑体" w:hAnsi="黑体" w:eastAsia="黑体" w:cs="黑体"/>
          <w:color w:val="auto"/>
          <w:sz w:val="44"/>
          <w:szCs w:val="44"/>
          <w:lang w:eastAsia="zh-CN"/>
        </w:rPr>
      </w:pPr>
      <w:r>
        <w:rPr>
          <w:rFonts w:hint="eastAsia" w:ascii="黑体" w:hAnsi="黑体" w:eastAsia="黑体" w:cs="黑体"/>
          <w:color w:val="auto"/>
          <w:sz w:val="44"/>
          <w:szCs w:val="44"/>
          <w:lang w:eastAsia="zh-CN"/>
        </w:rPr>
        <w:t>贵州省新能源可持续发展价格结算机制实施细则（试行）</w:t>
      </w:r>
    </w:p>
    <w:p w14:paraId="6440C833">
      <w:pPr>
        <w:keepNext w:val="0"/>
        <w:keepLines w:val="0"/>
        <w:pageBreakBefore w:val="0"/>
        <w:widowControl w:val="0"/>
        <w:kinsoku/>
        <w:wordWrap/>
        <w:overflowPunct/>
        <w:topLinePunct w:val="0"/>
        <w:autoSpaceDE/>
        <w:autoSpaceDN/>
        <w:bidi w:val="0"/>
        <w:adjustRightInd/>
        <w:snapToGrid/>
        <w:spacing w:after="0" w:line="720" w:lineRule="auto"/>
        <w:jc w:val="center"/>
        <w:textAlignment w:val="auto"/>
        <w:outlineLvl w:val="0"/>
        <w:rPr>
          <w:rFonts w:hint="default" w:ascii="楷体_GB2312" w:hAnsi="楷体_GB2312" w:eastAsia="楷体_GB2312" w:cs="楷体_GB2312"/>
          <w:b w:val="0"/>
          <w:color w:val="auto"/>
          <w:w w:val="100"/>
          <w:kern w:val="2"/>
          <w:sz w:val="36"/>
          <w:szCs w:val="36"/>
          <w:highlight w:val="none"/>
          <w:lang w:val="en-US" w:eastAsia="zh-CN"/>
        </w:rPr>
      </w:pPr>
      <w:r>
        <w:rPr>
          <w:rFonts w:hint="eastAsia" w:ascii="楷体_GB2312" w:hAnsi="楷体_GB2312" w:eastAsia="楷体_GB2312" w:cs="楷体_GB2312"/>
          <w:b w:val="0"/>
          <w:color w:val="auto"/>
          <w:w w:val="100"/>
          <w:kern w:val="2"/>
          <w:sz w:val="36"/>
          <w:szCs w:val="36"/>
          <w:highlight w:val="none"/>
          <w:lang w:val="en-US" w:eastAsia="zh-CN"/>
        </w:rPr>
        <w:t>（征求意见稿）</w:t>
      </w:r>
    </w:p>
    <w:p w14:paraId="60CF4A26">
      <w:pPr>
        <w:adjustRightInd/>
        <w:spacing w:after="0" w:afterAutospacing="0"/>
        <w:ind w:firstLine="646"/>
        <w:jc w:val="left"/>
        <w:textAlignment w:val="auto"/>
        <w:outlineLvl w:val="1"/>
        <w:rPr>
          <w:rFonts w:ascii="Times New Roman" w:hAnsi="Times New Roman" w:eastAsia="黑体" w:cs="Times New Roman"/>
          <w:color w:val="auto"/>
          <w:szCs w:val="32"/>
        </w:rPr>
      </w:pPr>
    </w:p>
    <w:p w14:paraId="75EF4B15">
      <w:pPr>
        <w:numPr>
          <w:ilvl w:val="0"/>
          <w:numId w:val="1"/>
        </w:numPr>
        <w:adjustRightInd/>
        <w:spacing w:beforeAutospacing="0" w:after="0" w:afterAutospacing="0"/>
        <w:ind w:left="0" w:leftChars="0" w:firstLine="0" w:firstLineChars="0"/>
        <w:jc w:val="center"/>
        <w:textAlignment w:val="auto"/>
        <w:outlineLvl w:val="0"/>
        <w:rPr>
          <w:rFonts w:ascii="Times New Roman" w:hAnsi="Times New Roman" w:eastAsia="黑体" w:cs="Times New Roman"/>
          <w:color w:val="auto"/>
          <w:szCs w:val="32"/>
        </w:rPr>
      </w:pPr>
      <w:r>
        <w:rPr>
          <w:rFonts w:hint="eastAsia" w:ascii="Times New Roman" w:hAnsi="Times New Roman" w:eastAsia="黑体" w:cs="Times New Roman"/>
          <w:color w:val="auto"/>
          <w:szCs w:val="32"/>
        </w:rPr>
        <w:t>总述</w:t>
      </w:r>
    </w:p>
    <w:p w14:paraId="1C603310">
      <w:pPr>
        <w:keepNext w:val="0"/>
        <w:keepLines w:val="0"/>
        <w:pageBreakBefore w:val="0"/>
        <w:widowControl w:val="0"/>
        <w:numPr>
          <w:ilvl w:val="0"/>
          <w:numId w:val="2"/>
        </w:numPr>
        <w:kinsoku/>
        <w:wordWrap/>
        <w:overflowPunct/>
        <w:topLinePunct w:val="0"/>
        <w:autoSpaceDE/>
        <w:autoSpaceDN/>
        <w:bidi w:val="0"/>
        <w:adjustRightInd/>
        <w:snapToGrid/>
        <w:ind w:left="-10" w:leftChars="0" w:firstLine="640" w:firstLineChars="0"/>
        <w:textAlignment w:val="auto"/>
        <w:rPr>
          <w:rFonts w:ascii="Times New Roman" w:hAnsi="Times New Roman" w:cs="Times New Roman"/>
          <w:color w:val="auto"/>
          <w:szCs w:val="32"/>
        </w:rPr>
      </w:pPr>
      <w:r>
        <w:rPr>
          <w:rFonts w:ascii="Times New Roman" w:hAnsi="Times New Roman" w:cs="Times New Roman"/>
          <w:color w:val="auto"/>
          <w:szCs w:val="32"/>
        </w:rPr>
        <w:t>为贯彻《国家</w:t>
      </w:r>
      <w:r>
        <w:rPr>
          <w:rFonts w:hint="eastAsia" w:ascii="Times New Roman" w:hAnsi="Times New Roman" w:cs="Times New Roman"/>
          <w:color w:val="auto"/>
          <w:szCs w:val="32"/>
        </w:rPr>
        <w:t>发展改革</w:t>
      </w:r>
      <w:r>
        <w:rPr>
          <w:rFonts w:ascii="Times New Roman" w:hAnsi="Times New Roman" w:cs="Times New Roman"/>
          <w:color w:val="auto"/>
          <w:szCs w:val="32"/>
        </w:rPr>
        <w:t>委 国家能源局关于深化新能源上网电价市场化改革 促进新能源高质量发展的通知》（发改价格〔2025〕136号）文件要求，</w:t>
      </w:r>
      <w:r>
        <w:rPr>
          <w:rFonts w:hint="eastAsia" w:ascii="Times New Roman" w:hAnsi="Times New Roman" w:cs="Times New Roman"/>
          <w:color w:val="auto"/>
          <w:szCs w:val="32"/>
        </w:rPr>
        <w:t>完善适应新能源发展的市场交易和价格机制，促进新能源高质量发展，</w:t>
      </w:r>
      <w:r>
        <w:rPr>
          <w:rFonts w:hint="eastAsia" w:ascii="Times New Roman" w:hAnsi="Times New Roman" w:cs="Times New Roman"/>
          <w:color w:val="auto"/>
          <w:szCs w:val="32"/>
          <w:lang w:val="en-US" w:eastAsia="zh-CN"/>
        </w:rPr>
        <w:t>根据《贵州省深化新能源上网电价市场化改革实施方案》，</w:t>
      </w:r>
      <w:r>
        <w:rPr>
          <w:rFonts w:hint="eastAsia" w:ascii="Times New Roman" w:hAnsi="Times New Roman" w:cs="Times New Roman"/>
          <w:color w:val="auto"/>
          <w:szCs w:val="32"/>
        </w:rPr>
        <w:t>制定本细则。</w:t>
      </w:r>
    </w:p>
    <w:p w14:paraId="0C6D495D">
      <w:pPr>
        <w:numPr>
          <w:ilvl w:val="0"/>
          <w:numId w:val="1"/>
        </w:numPr>
        <w:adjustRightInd/>
        <w:spacing w:after="0"/>
        <w:ind w:firstLine="402" w:firstLineChars="0"/>
        <w:jc w:val="center"/>
        <w:textAlignment w:val="auto"/>
        <w:outlineLvl w:val="0"/>
        <w:rPr>
          <w:rFonts w:ascii="Times New Roman" w:hAnsi="Times New Roman" w:eastAsia="黑体" w:cs="Times New Roman"/>
          <w:color w:val="auto"/>
          <w:szCs w:val="32"/>
        </w:rPr>
      </w:pPr>
      <w:r>
        <w:rPr>
          <w:rFonts w:hint="eastAsia" w:ascii="Times New Roman" w:hAnsi="Times New Roman" w:eastAsia="黑体" w:cs="Times New Roman"/>
          <w:color w:val="auto"/>
          <w:szCs w:val="32"/>
        </w:rPr>
        <w:t>职责分工</w:t>
      </w:r>
    </w:p>
    <w:p w14:paraId="02BD1392">
      <w:pPr>
        <w:widowControl w:val="0"/>
        <w:numPr>
          <w:ilvl w:val="0"/>
          <w:numId w:val="2"/>
        </w:numPr>
        <w:adjustRightInd/>
        <w:spacing w:after="0"/>
        <w:ind w:left="-10" w:firstLine="640" w:firstLineChars="0"/>
        <w:jc w:val="left"/>
        <w:textAlignment w:val="auto"/>
        <w:rPr>
          <w:rFonts w:hint="eastAsia" w:cs="Times New Roman"/>
          <w:color w:val="auto"/>
          <w:szCs w:val="32"/>
        </w:rPr>
      </w:pPr>
      <w:r>
        <w:rPr>
          <w:rFonts w:hint="eastAsia" w:cs="Times New Roman"/>
          <w:color w:val="auto"/>
          <w:szCs w:val="32"/>
        </w:rPr>
        <w:t>电网企业负责</w:t>
      </w:r>
      <w:r>
        <w:rPr>
          <w:rFonts w:hint="eastAsia" w:cs="Times New Roman"/>
          <w:color w:val="auto"/>
          <w:szCs w:val="32"/>
          <w:lang w:val="en-US" w:eastAsia="zh-CN"/>
        </w:rPr>
        <w:t>新能源项目市场外差价结算；</w:t>
      </w:r>
      <w:r>
        <w:rPr>
          <w:rFonts w:hint="eastAsia" w:cs="Times New Roman"/>
          <w:color w:val="auto"/>
          <w:szCs w:val="32"/>
        </w:rPr>
        <w:t>负责</w:t>
      </w:r>
      <w:r>
        <w:rPr>
          <w:rFonts w:hint="eastAsia" w:cs="Times New Roman"/>
          <w:color w:val="auto"/>
          <w:szCs w:val="32"/>
          <w:lang w:val="en-US" w:eastAsia="zh-CN"/>
        </w:rPr>
        <w:t>作为</w:t>
      </w:r>
      <w:r>
        <w:rPr>
          <w:rFonts w:hint="eastAsia" w:cs="Times New Roman"/>
          <w:color w:val="auto"/>
          <w:szCs w:val="32"/>
        </w:rPr>
        <w:t>价格接受者</w:t>
      </w:r>
      <w:r>
        <w:rPr>
          <w:rFonts w:hint="eastAsia" w:cs="Times New Roman"/>
          <w:color w:val="auto"/>
          <w:szCs w:val="32"/>
          <w:lang w:eastAsia="zh-CN"/>
        </w:rPr>
        <w:t>（</w:t>
      </w:r>
      <w:r>
        <w:rPr>
          <w:rFonts w:hint="eastAsia" w:cs="Times New Roman"/>
          <w:color w:val="auto"/>
          <w:szCs w:val="32"/>
          <w:lang w:val="en-US" w:eastAsia="zh-CN"/>
        </w:rPr>
        <w:t>指未参与交易且不报量不报价的项目，下同</w:t>
      </w:r>
      <w:r>
        <w:rPr>
          <w:rFonts w:hint="eastAsia" w:cs="Times New Roman"/>
          <w:color w:val="auto"/>
          <w:szCs w:val="32"/>
          <w:lang w:eastAsia="zh-CN"/>
        </w:rPr>
        <w:t>）</w:t>
      </w:r>
      <w:r>
        <w:rPr>
          <w:rFonts w:hint="eastAsia" w:cs="Times New Roman"/>
          <w:color w:val="auto"/>
          <w:szCs w:val="32"/>
        </w:rPr>
        <w:t>新能源项目的电能量部分结算；配合政府部门确定增量项目机制电价竞价的有关参数</w:t>
      </w:r>
      <w:r>
        <w:rPr>
          <w:rFonts w:hint="eastAsia" w:cs="Times New Roman"/>
          <w:color w:val="auto"/>
          <w:szCs w:val="32"/>
          <w:lang w:eastAsia="zh-CN"/>
        </w:rPr>
        <w:t>；</w:t>
      </w:r>
      <w:r>
        <w:rPr>
          <w:rFonts w:hint="eastAsia" w:cs="Times New Roman"/>
          <w:color w:val="auto"/>
          <w:szCs w:val="32"/>
        </w:rPr>
        <w:t>组织</w:t>
      </w:r>
      <w:r>
        <w:rPr>
          <w:rFonts w:hint="eastAsia" w:cs="Times New Roman"/>
          <w:color w:val="auto"/>
          <w:szCs w:val="32"/>
          <w:lang w:val="en-US" w:eastAsia="zh-CN"/>
        </w:rPr>
        <w:t>开展</w:t>
      </w:r>
      <w:r>
        <w:rPr>
          <w:rFonts w:hint="eastAsia" w:cs="Times New Roman"/>
          <w:color w:val="auto"/>
          <w:szCs w:val="32"/>
        </w:rPr>
        <w:t>差价协议签订；</w:t>
      </w:r>
      <w:r>
        <w:rPr>
          <w:rFonts w:hint="eastAsia" w:cs="Times New Roman"/>
          <w:color w:val="auto"/>
          <w:szCs w:val="32"/>
          <w:lang w:val="en-US" w:eastAsia="zh-CN"/>
        </w:rPr>
        <w:t>负责</w:t>
      </w:r>
      <w:r>
        <w:rPr>
          <w:rFonts w:hint="eastAsia" w:cs="Times New Roman"/>
          <w:color w:val="auto"/>
          <w:szCs w:val="32"/>
        </w:rPr>
        <w:t>差价结算</w:t>
      </w:r>
      <w:r>
        <w:rPr>
          <w:rFonts w:hint="eastAsia" w:cs="Times New Roman"/>
          <w:color w:val="auto"/>
          <w:szCs w:val="32"/>
          <w:lang w:val="en-US" w:eastAsia="zh-CN"/>
        </w:rPr>
        <w:t>费用</w:t>
      </w:r>
      <w:r>
        <w:rPr>
          <w:rFonts w:hint="eastAsia" w:cs="Times New Roman"/>
          <w:color w:val="auto"/>
          <w:szCs w:val="32"/>
        </w:rPr>
        <w:t>纳入系统运行费用传导。</w:t>
      </w:r>
    </w:p>
    <w:p w14:paraId="099DBBA5">
      <w:pPr>
        <w:widowControl w:val="0"/>
        <w:numPr>
          <w:ilvl w:val="0"/>
          <w:numId w:val="2"/>
        </w:numPr>
        <w:adjustRightInd/>
        <w:spacing w:after="0"/>
        <w:ind w:left="-10" w:firstLine="640" w:firstLineChars="0"/>
        <w:jc w:val="both"/>
        <w:textAlignment w:val="auto"/>
        <w:rPr>
          <w:rFonts w:hint="eastAsia" w:cs="Times New Roman"/>
          <w:color w:val="auto"/>
          <w:szCs w:val="32"/>
        </w:rPr>
      </w:pPr>
      <w:r>
        <w:rPr>
          <w:rFonts w:hint="eastAsia" w:cs="Times New Roman"/>
          <w:b w:val="0"/>
          <w:bCs w:val="0"/>
          <w:color w:val="auto"/>
          <w:szCs w:val="32"/>
        </w:rPr>
        <w:t>调度</w:t>
      </w:r>
      <w:r>
        <w:rPr>
          <w:rFonts w:hint="eastAsia" w:cs="Times New Roman"/>
          <w:b w:val="0"/>
          <w:bCs w:val="0"/>
          <w:color w:val="auto"/>
          <w:szCs w:val="32"/>
          <w:lang w:val="en-US" w:eastAsia="zh-CN"/>
        </w:rPr>
        <w:t>机构</w:t>
      </w:r>
      <w:r>
        <w:rPr>
          <w:rFonts w:hint="eastAsia" w:cs="Times New Roman"/>
          <w:b w:val="0"/>
          <w:bCs w:val="0"/>
          <w:color w:val="auto"/>
          <w:szCs w:val="32"/>
        </w:rPr>
        <w:t>负责</w:t>
      </w:r>
      <w:r>
        <w:rPr>
          <w:rFonts w:hint="eastAsia" w:cs="Times New Roman"/>
          <w:color w:val="auto"/>
          <w:szCs w:val="32"/>
        </w:rPr>
        <w:t>审核集中式新能源项目的并网装机容量、并网电压等级等信息，提供各类型新能源发电利用小时数等数据，做好新能源项目并网接入及调度服务</w:t>
      </w:r>
      <w:r>
        <w:rPr>
          <w:rFonts w:hint="eastAsia" w:cs="Times New Roman"/>
          <w:color w:val="auto"/>
          <w:szCs w:val="32"/>
          <w:lang w:eastAsia="zh-CN"/>
        </w:rPr>
        <w:t>，</w:t>
      </w:r>
      <w:r>
        <w:rPr>
          <w:rFonts w:hint="eastAsia" w:cs="Times New Roman"/>
          <w:color w:val="auto"/>
          <w:szCs w:val="32"/>
          <w:lang w:val="en-US" w:eastAsia="zh-CN"/>
        </w:rPr>
        <w:t>负责提供网络拓扑关系并及时更新</w:t>
      </w:r>
      <w:r>
        <w:rPr>
          <w:rFonts w:hint="eastAsia" w:cs="Times New Roman"/>
          <w:color w:val="auto"/>
          <w:szCs w:val="32"/>
        </w:rPr>
        <w:t>。</w:t>
      </w:r>
    </w:p>
    <w:p w14:paraId="4A475E9A">
      <w:pPr>
        <w:widowControl w:val="0"/>
        <w:numPr>
          <w:ilvl w:val="0"/>
          <w:numId w:val="2"/>
        </w:numPr>
        <w:adjustRightInd/>
        <w:spacing w:after="0"/>
        <w:ind w:left="-10" w:firstLine="640" w:firstLineChars="0"/>
        <w:jc w:val="left"/>
        <w:textAlignment w:val="auto"/>
        <w:rPr>
          <w:rFonts w:hint="eastAsia" w:cs="Times New Roman"/>
          <w:color w:val="auto"/>
          <w:szCs w:val="32"/>
        </w:rPr>
      </w:pPr>
      <w:r>
        <w:rPr>
          <w:rFonts w:hint="eastAsia" w:cs="Times New Roman"/>
          <w:b w:val="0"/>
          <w:bCs w:val="0"/>
          <w:color w:val="auto"/>
          <w:szCs w:val="32"/>
        </w:rPr>
        <w:t>交易</w:t>
      </w:r>
      <w:r>
        <w:rPr>
          <w:rFonts w:hint="eastAsia" w:cs="Times New Roman"/>
          <w:b w:val="0"/>
          <w:bCs w:val="0"/>
          <w:color w:val="auto"/>
          <w:szCs w:val="32"/>
          <w:lang w:val="en-US" w:eastAsia="zh-CN"/>
        </w:rPr>
        <w:t>机构</w:t>
      </w:r>
      <w:r>
        <w:rPr>
          <w:rFonts w:hint="eastAsia" w:cs="Times New Roman"/>
          <w:b w:val="0"/>
          <w:bCs w:val="0"/>
          <w:color w:val="auto"/>
          <w:szCs w:val="32"/>
        </w:rPr>
        <w:t>组织开展</w:t>
      </w:r>
      <w:r>
        <w:rPr>
          <w:rFonts w:hint="eastAsia" w:cs="Times New Roman"/>
          <w:color w:val="auto"/>
          <w:szCs w:val="32"/>
        </w:rPr>
        <w:t>机制电价竞价，推送竞价结果</w:t>
      </w:r>
      <w:r>
        <w:rPr>
          <w:rFonts w:hint="eastAsia" w:cs="Times New Roman"/>
          <w:color w:val="auto"/>
          <w:szCs w:val="32"/>
          <w:lang w:eastAsia="zh-CN"/>
        </w:rPr>
        <w:t>（</w:t>
      </w:r>
      <w:r>
        <w:rPr>
          <w:rFonts w:hint="eastAsia" w:cs="Times New Roman"/>
          <w:color w:val="auto"/>
          <w:szCs w:val="32"/>
          <w:lang w:val="en-US" w:eastAsia="zh-CN"/>
        </w:rPr>
        <w:t>包含机制电量比例及绝对量、机制电价等</w:t>
      </w:r>
      <w:r>
        <w:rPr>
          <w:rFonts w:hint="eastAsia" w:cs="Times New Roman"/>
          <w:color w:val="auto"/>
          <w:szCs w:val="32"/>
          <w:lang w:eastAsia="zh-CN"/>
        </w:rPr>
        <w:t>），</w:t>
      </w:r>
      <w:r>
        <w:rPr>
          <w:rFonts w:hint="eastAsia" w:cs="Times New Roman"/>
          <w:color w:val="auto"/>
          <w:szCs w:val="32"/>
          <w:lang w:val="en-US" w:eastAsia="zh-CN"/>
        </w:rPr>
        <w:t>推送</w:t>
      </w:r>
      <w:r>
        <w:rPr>
          <w:rFonts w:hint="eastAsia" w:cs="Times New Roman"/>
          <w:color w:val="auto"/>
          <w:szCs w:val="32"/>
        </w:rPr>
        <w:t>参与差价电费结算的市场交易均价</w:t>
      </w:r>
      <w:r>
        <w:rPr>
          <w:rFonts w:hint="eastAsia" w:cs="Times New Roman"/>
          <w:color w:val="auto"/>
          <w:szCs w:val="32"/>
          <w:lang w:eastAsia="zh-CN"/>
        </w:rPr>
        <w:t>，</w:t>
      </w:r>
      <w:r>
        <w:rPr>
          <w:rFonts w:hint="eastAsia" w:cs="Times New Roman"/>
          <w:color w:val="auto"/>
          <w:szCs w:val="32"/>
          <w:lang w:val="en-US" w:eastAsia="zh-CN"/>
        </w:rPr>
        <w:t>推送节点电价</w:t>
      </w:r>
      <w:r>
        <w:rPr>
          <w:rFonts w:hint="eastAsia" w:cs="Times New Roman"/>
          <w:color w:val="auto"/>
          <w:szCs w:val="32"/>
        </w:rPr>
        <w:t>；</w:t>
      </w:r>
      <w:r>
        <w:rPr>
          <w:rFonts w:hint="eastAsia" w:cs="Times New Roman"/>
          <w:color w:val="auto"/>
          <w:szCs w:val="32"/>
          <w:lang w:val="en-US" w:eastAsia="zh-CN"/>
        </w:rPr>
        <w:t>负责推送</w:t>
      </w:r>
      <w:r>
        <w:rPr>
          <w:rFonts w:hint="eastAsia" w:cs="Times New Roman"/>
          <w:color w:val="auto"/>
          <w:szCs w:val="32"/>
        </w:rPr>
        <w:t>负责出具直接参与交易、聚合参与交易新能源项目结算依据。</w:t>
      </w:r>
    </w:p>
    <w:p w14:paraId="4DA79609">
      <w:pPr>
        <w:numPr>
          <w:ilvl w:val="0"/>
          <w:numId w:val="1"/>
        </w:numPr>
        <w:adjustRightInd/>
        <w:spacing w:after="0"/>
        <w:ind w:firstLine="0" w:firstLineChars="0"/>
        <w:jc w:val="center"/>
        <w:textAlignment w:val="auto"/>
        <w:outlineLvl w:val="0"/>
        <w:rPr>
          <w:rFonts w:ascii="Times New Roman" w:hAnsi="Times New Roman" w:eastAsia="黑体" w:cs="Times New Roman"/>
          <w:color w:val="auto"/>
          <w:szCs w:val="32"/>
        </w:rPr>
      </w:pPr>
      <w:r>
        <w:rPr>
          <w:rFonts w:hint="eastAsia" w:ascii="Times New Roman" w:hAnsi="Times New Roman" w:eastAsia="黑体" w:cs="Times New Roman"/>
          <w:color w:val="auto"/>
          <w:szCs w:val="32"/>
          <w:lang w:val="en-US" w:eastAsia="zh-CN"/>
        </w:rPr>
        <w:t>项目类型划分</w:t>
      </w:r>
    </w:p>
    <w:p w14:paraId="6D1C5FED">
      <w:pPr>
        <w:widowControl w:val="0"/>
        <w:numPr>
          <w:ilvl w:val="0"/>
          <w:numId w:val="2"/>
        </w:numPr>
        <w:adjustRightInd/>
        <w:spacing w:after="0"/>
        <w:ind w:left="-10" w:firstLine="640" w:firstLineChars="0"/>
        <w:jc w:val="left"/>
        <w:textAlignment w:val="auto"/>
        <w:rPr>
          <w:rFonts w:ascii="Times New Roman" w:hAnsi="Times New Roman" w:cs="Times New Roman"/>
          <w:color w:val="auto"/>
          <w:szCs w:val="32"/>
        </w:rPr>
      </w:pPr>
      <w:r>
        <w:rPr>
          <w:rFonts w:hint="eastAsia"/>
          <w:color w:val="auto"/>
          <w:szCs w:val="32"/>
          <w:lang w:bidi="ar"/>
        </w:rPr>
        <w:t>存量项目</w:t>
      </w:r>
      <w:r>
        <w:rPr>
          <w:rFonts w:hint="eastAsia"/>
          <w:color w:val="auto"/>
          <w:szCs w:val="32"/>
          <w:lang w:val="en-US" w:eastAsia="zh-CN" w:bidi="ar"/>
        </w:rPr>
        <w:t>指</w:t>
      </w:r>
      <w:r>
        <w:rPr>
          <w:rFonts w:hint="eastAsia" w:ascii="Times New Roman" w:hAnsi="Times New Roman" w:cs="Times New Roman"/>
          <w:color w:val="auto"/>
          <w:szCs w:val="32"/>
        </w:rPr>
        <w:t>2025年6月1日（不含）以前</w:t>
      </w:r>
      <w:r>
        <w:rPr>
          <w:rFonts w:hint="eastAsia"/>
          <w:color w:val="auto"/>
          <w:szCs w:val="32"/>
          <w:lang w:bidi="ar"/>
        </w:rPr>
        <w:t>投产的新能源项目</w:t>
      </w:r>
      <w:r>
        <w:rPr>
          <w:rFonts w:hint="eastAsia" w:ascii="Times New Roman" w:hAnsi="Times New Roman" w:cs="Times New Roman"/>
          <w:color w:val="auto"/>
          <w:szCs w:val="32"/>
        </w:rPr>
        <w:t>。2025</w:t>
      </w:r>
      <w:r>
        <w:rPr>
          <w:rFonts w:hint="eastAsia"/>
          <w:color w:val="auto"/>
          <w:szCs w:val="32"/>
          <w:lang w:bidi="ar"/>
        </w:rPr>
        <w:t>年</w:t>
      </w:r>
      <w:r>
        <w:rPr>
          <w:rFonts w:hint="eastAsia" w:ascii="Times New Roman" w:hAnsi="Times New Roman" w:cs="Times New Roman"/>
          <w:color w:val="auto"/>
          <w:szCs w:val="32"/>
        </w:rPr>
        <w:t>6</w:t>
      </w:r>
      <w:r>
        <w:rPr>
          <w:rFonts w:hint="eastAsia"/>
          <w:color w:val="auto"/>
          <w:szCs w:val="32"/>
          <w:lang w:bidi="ar"/>
        </w:rPr>
        <w:t>月</w:t>
      </w:r>
      <w:r>
        <w:rPr>
          <w:rFonts w:hint="eastAsia" w:ascii="Times New Roman" w:hAnsi="Times New Roman" w:cs="Times New Roman"/>
          <w:color w:val="auto"/>
          <w:szCs w:val="32"/>
        </w:rPr>
        <w:t>1</w:t>
      </w:r>
      <w:r>
        <w:rPr>
          <w:rFonts w:hint="eastAsia"/>
          <w:color w:val="auto"/>
          <w:szCs w:val="32"/>
          <w:lang w:bidi="ar"/>
        </w:rPr>
        <w:t>日起，新能源项目只参与</w:t>
      </w:r>
      <w:r>
        <w:rPr>
          <w:rFonts w:hint="eastAsia"/>
          <w:color w:val="auto"/>
          <w:szCs w:val="32"/>
          <w:lang w:val="en-US" w:eastAsia="zh-CN" w:bidi="ar"/>
        </w:rPr>
        <w:t>现货</w:t>
      </w:r>
      <w:r>
        <w:rPr>
          <w:rFonts w:hint="eastAsia"/>
          <w:color w:val="auto"/>
          <w:szCs w:val="32"/>
          <w:lang w:bidi="ar"/>
        </w:rPr>
        <w:t>市场交易的，不影响其存量项目认定。</w:t>
      </w:r>
    </w:p>
    <w:p w14:paraId="549EF3EB">
      <w:pPr>
        <w:widowControl w:val="0"/>
        <w:numPr>
          <w:ilvl w:val="0"/>
          <w:numId w:val="2"/>
        </w:numPr>
        <w:adjustRightInd/>
        <w:spacing w:after="0"/>
        <w:ind w:left="-10" w:firstLine="640" w:firstLineChars="0"/>
        <w:jc w:val="left"/>
        <w:textAlignment w:val="auto"/>
        <w:rPr>
          <w:rFonts w:ascii="Times New Roman" w:hAnsi="Times New Roman" w:cs="Times New Roman"/>
          <w:color w:val="auto"/>
          <w:szCs w:val="32"/>
        </w:rPr>
      </w:pPr>
      <w:r>
        <w:rPr>
          <w:rFonts w:hint="eastAsia"/>
          <w:color w:val="auto"/>
          <w:szCs w:val="32"/>
          <w:lang w:bidi="ar"/>
        </w:rPr>
        <w:t>增量项目</w:t>
      </w:r>
      <w:r>
        <w:rPr>
          <w:rFonts w:hint="eastAsia"/>
          <w:color w:val="auto"/>
          <w:szCs w:val="32"/>
          <w:lang w:val="en-US" w:eastAsia="zh-CN" w:bidi="ar"/>
        </w:rPr>
        <w:t>指</w:t>
      </w:r>
      <w:r>
        <w:rPr>
          <w:rFonts w:hint="eastAsia" w:ascii="Times New Roman" w:hAnsi="Times New Roman" w:cs="Times New Roman"/>
          <w:color w:val="auto"/>
          <w:szCs w:val="32"/>
        </w:rPr>
        <w:t>2025年6月1日（含）以后</w:t>
      </w:r>
      <w:r>
        <w:rPr>
          <w:rFonts w:hint="eastAsia"/>
          <w:color w:val="auto"/>
          <w:szCs w:val="32"/>
          <w:lang w:bidi="ar"/>
        </w:rPr>
        <w:t>投产且未纳入机制电价的新能源项目</w:t>
      </w:r>
      <w:r>
        <w:rPr>
          <w:rFonts w:hint="eastAsia" w:ascii="Times New Roman" w:hAnsi="Times New Roman" w:cs="Times New Roman"/>
          <w:color w:val="auto"/>
          <w:szCs w:val="32"/>
        </w:rPr>
        <w:t>。</w:t>
      </w:r>
    </w:p>
    <w:p w14:paraId="541C131A">
      <w:pPr>
        <w:numPr>
          <w:ilvl w:val="0"/>
          <w:numId w:val="1"/>
        </w:numPr>
        <w:adjustRightInd/>
        <w:spacing w:after="0"/>
        <w:ind w:firstLine="0" w:firstLineChars="0"/>
        <w:jc w:val="center"/>
        <w:textAlignment w:val="auto"/>
        <w:outlineLvl w:val="0"/>
        <w:rPr>
          <w:rFonts w:ascii="Times New Roman" w:hAnsi="Times New Roman" w:eastAsia="黑体" w:cs="Times New Roman"/>
          <w:color w:val="auto"/>
          <w:szCs w:val="32"/>
        </w:rPr>
      </w:pPr>
      <w:r>
        <w:rPr>
          <w:rFonts w:hint="eastAsia" w:ascii="Times New Roman" w:hAnsi="Times New Roman" w:eastAsia="黑体" w:cs="Times New Roman"/>
          <w:color w:val="auto"/>
          <w:szCs w:val="32"/>
          <w:lang w:val="en-US" w:eastAsia="zh-CN"/>
        </w:rPr>
        <w:t>机制电量比例</w:t>
      </w:r>
    </w:p>
    <w:p w14:paraId="2A43C00E">
      <w:pPr>
        <w:widowControl w:val="0"/>
        <w:numPr>
          <w:ilvl w:val="0"/>
          <w:numId w:val="2"/>
        </w:numPr>
        <w:adjustRightInd/>
        <w:spacing w:after="0"/>
        <w:ind w:left="-10" w:firstLine="640" w:firstLineChars="0"/>
        <w:jc w:val="left"/>
        <w:textAlignment w:val="auto"/>
        <w:rPr>
          <w:rFonts w:ascii="Times New Roman" w:hAnsi="Times New Roman" w:cs="Times New Roman"/>
          <w:color w:val="auto"/>
          <w:szCs w:val="32"/>
        </w:rPr>
      </w:pPr>
      <w:r>
        <w:rPr>
          <w:rFonts w:hint="eastAsia"/>
          <w:color w:val="auto"/>
          <w:szCs w:val="32"/>
          <w:lang w:val="en-US" w:eastAsia="zh-CN" w:bidi="ar"/>
        </w:rPr>
        <w:t>存量项目按接网电压等级确定机制电量比例，接网电压等级110千伏以下项目机制电量比例为上网电量的100%，110千伏及以上项目机制电量比例为80%。项目电压等级按最终接入电网电压等级确定。</w:t>
      </w:r>
    </w:p>
    <w:p w14:paraId="479F1F04">
      <w:pPr>
        <w:widowControl w:val="0"/>
        <w:numPr>
          <w:ilvl w:val="0"/>
          <w:numId w:val="2"/>
        </w:numPr>
        <w:adjustRightInd/>
        <w:spacing w:after="0"/>
        <w:ind w:left="-10" w:firstLine="640" w:firstLineChars="0"/>
        <w:jc w:val="left"/>
        <w:textAlignment w:val="auto"/>
        <w:rPr>
          <w:rFonts w:ascii="Times New Roman" w:hAnsi="Times New Roman" w:cs="Times New Roman"/>
          <w:color w:val="auto"/>
          <w:szCs w:val="32"/>
        </w:rPr>
      </w:pPr>
      <w:r>
        <w:rPr>
          <w:rFonts w:hint="eastAsia"/>
          <w:color w:val="auto"/>
          <w:szCs w:val="32"/>
          <w:lang w:val="en-US" w:eastAsia="zh-CN" w:bidi="ar"/>
        </w:rPr>
        <w:t>增量项目根据竞价结果确定机制电量比例，但不得超过其当期全部上网电量的90%。</w:t>
      </w:r>
    </w:p>
    <w:p w14:paraId="64E93643">
      <w:pPr>
        <w:widowControl w:val="0"/>
        <w:numPr>
          <w:ilvl w:val="0"/>
          <w:numId w:val="2"/>
        </w:numPr>
        <w:adjustRightInd/>
        <w:spacing w:after="0"/>
        <w:ind w:left="-10" w:firstLine="640" w:firstLineChars="0"/>
        <w:jc w:val="left"/>
        <w:textAlignment w:val="auto"/>
        <w:rPr>
          <w:rFonts w:ascii="Times New Roman" w:hAnsi="Times New Roman" w:cs="Times New Roman"/>
          <w:color w:val="auto"/>
          <w:szCs w:val="32"/>
        </w:rPr>
      </w:pPr>
      <w:r>
        <w:rPr>
          <w:rFonts w:hint="eastAsia"/>
          <w:color w:val="auto"/>
          <w:szCs w:val="32"/>
          <w:lang w:val="en-US" w:eastAsia="zh-CN" w:bidi="ar"/>
        </w:rPr>
        <w:t>新能源项目可在差价协议中自行调整该比例，但不得高于上述要求，且不得高于前一年比例。</w:t>
      </w:r>
    </w:p>
    <w:p w14:paraId="79605964">
      <w:pPr>
        <w:numPr>
          <w:ilvl w:val="0"/>
          <w:numId w:val="1"/>
        </w:numPr>
        <w:adjustRightInd/>
        <w:spacing w:after="0"/>
        <w:ind w:firstLine="0" w:firstLineChars="0"/>
        <w:jc w:val="center"/>
        <w:textAlignment w:val="auto"/>
        <w:outlineLvl w:val="0"/>
        <w:rPr>
          <w:rFonts w:ascii="Times New Roman" w:hAnsi="Times New Roman" w:eastAsia="黑体" w:cs="Times New Roman"/>
          <w:color w:val="auto"/>
          <w:szCs w:val="32"/>
        </w:rPr>
      </w:pPr>
      <w:r>
        <w:rPr>
          <w:rFonts w:hint="eastAsia" w:ascii="Times New Roman" w:hAnsi="Times New Roman" w:eastAsia="黑体" w:cs="Times New Roman"/>
          <w:color w:val="auto"/>
          <w:szCs w:val="32"/>
        </w:rPr>
        <w:t>执行期限</w:t>
      </w:r>
    </w:p>
    <w:p w14:paraId="5D785B60">
      <w:pPr>
        <w:widowControl w:val="0"/>
        <w:numPr>
          <w:ilvl w:val="0"/>
          <w:numId w:val="2"/>
        </w:numPr>
        <w:adjustRightInd/>
        <w:spacing w:after="0"/>
        <w:ind w:left="-10" w:firstLine="640" w:firstLineChars="0"/>
        <w:jc w:val="left"/>
        <w:textAlignment w:val="auto"/>
        <w:rPr>
          <w:color w:val="auto"/>
        </w:rPr>
      </w:pPr>
      <w:r>
        <w:rPr>
          <w:rFonts w:hint="eastAsia"/>
          <w:color w:val="auto"/>
          <w:szCs w:val="32"/>
          <w:lang w:val="en-US" w:eastAsia="zh-CN" w:bidi="ar"/>
        </w:rPr>
        <w:t>存量项目</w:t>
      </w:r>
      <w:r>
        <w:rPr>
          <w:rFonts w:hint="default"/>
          <w:color w:val="auto"/>
          <w:szCs w:val="32"/>
          <w:lang w:val="en-US" w:eastAsia="zh-CN" w:bidi="ar"/>
        </w:rPr>
        <w:t>投产满20年后</w:t>
      </w:r>
      <w:r>
        <w:rPr>
          <w:rFonts w:hint="eastAsia" w:ascii="Times New Roman" w:hAnsi="Times New Roman" w:cs="Times New Roman"/>
          <w:color w:val="auto"/>
          <w:szCs w:val="32"/>
          <w:lang w:val="en-US" w:eastAsia="zh-CN"/>
        </w:rPr>
        <w:t>不再执行机制电价。</w:t>
      </w:r>
    </w:p>
    <w:p w14:paraId="2468FCE5">
      <w:pPr>
        <w:widowControl w:val="0"/>
        <w:numPr>
          <w:ilvl w:val="0"/>
          <w:numId w:val="2"/>
        </w:numPr>
        <w:adjustRightInd/>
        <w:spacing w:after="0"/>
        <w:ind w:left="-10" w:firstLine="640" w:firstLineChars="0"/>
        <w:jc w:val="left"/>
        <w:textAlignment w:val="auto"/>
        <w:rPr>
          <w:color w:val="auto"/>
        </w:rPr>
      </w:pPr>
      <w:r>
        <w:rPr>
          <w:rFonts w:hint="eastAsia" w:ascii="Times New Roman" w:hAnsi="Times New Roman" w:cs="Times New Roman"/>
          <w:color w:val="auto"/>
          <w:szCs w:val="32"/>
          <w:lang w:val="en-US" w:eastAsia="zh-CN"/>
        </w:rPr>
        <w:t>增量项目执行期限为</w:t>
      </w:r>
      <w:r>
        <w:rPr>
          <w:rFonts w:hint="eastAsia" w:ascii="Times New Roman" w:hAnsi="Times New Roman" w:cs="Times New Roman"/>
          <w:color w:val="auto"/>
          <w:szCs w:val="32"/>
        </w:rPr>
        <w:t>12年</w:t>
      </w:r>
      <w:r>
        <w:rPr>
          <w:rFonts w:hint="eastAsia" w:ascii="Times New Roman" w:hAnsi="Times New Roman" w:cs="Times New Roman"/>
          <w:color w:val="auto"/>
          <w:szCs w:val="32"/>
          <w:lang w:eastAsia="zh-CN"/>
        </w:rPr>
        <w:t>。</w:t>
      </w:r>
      <w:r>
        <w:rPr>
          <w:rFonts w:hint="eastAsia" w:ascii="Times New Roman" w:hAnsi="Times New Roman" w:cs="Times New Roman"/>
          <w:color w:val="auto"/>
          <w:szCs w:val="32"/>
          <w:lang w:val="en-US" w:eastAsia="zh-CN"/>
        </w:rPr>
        <w:t>入选时未投产的项目，执行起始日期按照项目申报的承诺投产日期确定，如未按期投产，则实际投产时间之前的机制电量自动失效，如提前投产，申报的承诺投产日期之前的上网电量不执行机制电价；入选时已投产的项目，按照入选标的起始日期确定执行起始日期。</w:t>
      </w:r>
    </w:p>
    <w:p w14:paraId="6E087BCF">
      <w:pPr>
        <w:widowControl w:val="0"/>
        <w:numPr>
          <w:ilvl w:val="0"/>
          <w:numId w:val="2"/>
        </w:numPr>
        <w:adjustRightInd/>
        <w:spacing w:after="0"/>
        <w:ind w:left="-10" w:firstLine="640" w:firstLineChars="0"/>
        <w:jc w:val="left"/>
        <w:textAlignment w:val="auto"/>
        <w:rPr>
          <w:color w:val="auto"/>
        </w:rPr>
      </w:pPr>
      <w:r>
        <w:rPr>
          <w:rFonts w:hint="eastAsia"/>
          <w:color w:val="auto"/>
          <w:lang w:val="en-US" w:eastAsia="zh-CN"/>
        </w:rPr>
        <w:t>已纳入机制的新能源项目，执行期限内每年可在与电网企业签订差价协议时自愿申请全部或部分退出。执行到期或在期限内自愿退出的新能源项目，退出部分不再纳入机制执行范围。</w:t>
      </w:r>
    </w:p>
    <w:p w14:paraId="18780ABB">
      <w:pPr>
        <w:numPr>
          <w:ilvl w:val="0"/>
          <w:numId w:val="1"/>
        </w:numPr>
        <w:adjustRightInd/>
        <w:spacing w:after="0"/>
        <w:ind w:firstLine="0" w:firstLineChars="0"/>
        <w:jc w:val="center"/>
        <w:textAlignment w:val="auto"/>
        <w:outlineLvl w:val="0"/>
        <w:rPr>
          <w:rFonts w:ascii="Times New Roman" w:hAnsi="Times New Roman" w:eastAsia="黑体" w:cs="Times New Roman"/>
          <w:color w:val="auto"/>
          <w:szCs w:val="32"/>
        </w:rPr>
      </w:pPr>
      <w:r>
        <w:rPr>
          <w:rFonts w:hint="eastAsia" w:ascii="Times New Roman" w:hAnsi="Times New Roman" w:eastAsia="黑体" w:cs="Times New Roman"/>
          <w:color w:val="auto"/>
          <w:szCs w:val="32"/>
          <w:lang w:val="en-US" w:eastAsia="zh-CN"/>
        </w:rPr>
        <w:t>机制电价水平</w:t>
      </w:r>
    </w:p>
    <w:p w14:paraId="75932F2B">
      <w:pPr>
        <w:widowControl w:val="0"/>
        <w:numPr>
          <w:ilvl w:val="0"/>
          <w:numId w:val="2"/>
        </w:numPr>
        <w:adjustRightInd/>
        <w:spacing w:after="0"/>
        <w:ind w:left="-10" w:firstLine="640" w:firstLineChars="0"/>
        <w:jc w:val="left"/>
        <w:textAlignment w:val="auto"/>
        <w:rPr>
          <w:rFonts w:hint="eastAsia" w:ascii="Times New Roman" w:hAnsi="Times New Roman" w:eastAsia="黑体" w:cs="Times New Roman"/>
          <w:b/>
          <w:bCs/>
          <w:color w:val="auto"/>
          <w:szCs w:val="32"/>
        </w:rPr>
      </w:pPr>
      <w:r>
        <w:rPr>
          <w:rFonts w:hint="eastAsia" w:ascii="Times New Roman" w:hAnsi="Times New Roman" w:cs="Times New Roman"/>
          <w:color w:val="auto"/>
          <w:szCs w:val="32"/>
          <w:lang w:val="en-US" w:eastAsia="zh-CN"/>
        </w:rPr>
        <w:t>存量项目机制电价按照0.3515元/千瓦时执行。</w:t>
      </w:r>
    </w:p>
    <w:p w14:paraId="17ADC762">
      <w:pPr>
        <w:widowControl w:val="0"/>
        <w:numPr>
          <w:ilvl w:val="0"/>
          <w:numId w:val="2"/>
        </w:numPr>
        <w:adjustRightInd/>
        <w:spacing w:after="0"/>
        <w:ind w:left="-10" w:firstLine="640" w:firstLineChars="0"/>
        <w:jc w:val="both"/>
        <w:textAlignment w:val="auto"/>
        <w:rPr>
          <w:rFonts w:hint="eastAsia" w:ascii="Times New Roman" w:hAnsi="Times New Roman" w:eastAsia="黑体" w:cs="Times New Roman"/>
          <w:b/>
          <w:bCs/>
          <w:color w:val="auto"/>
          <w:szCs w:val="32"/>
        </w:rPr>
      </w:pPr>
      <w:r>
        <w:rPr>
          <w:rFonts w:hint="eastAsia"/>
          <w:color w:val="auto"/>
          <w:szCs w:val="32"/>
          <w:lang w:val="en-US" w:eastAsia="zh-CN" w:bidi="ar"/>
        </w:rPr>
        <w:t>增量项目机制电价通过</w:t>
      </w:r>
      <w:r>
        <w:rPr>
          <w:rFonts w:hint="eastAsia"/>
          <w:color w:val="auto"/>
          <w:szCs w:val="32"/>
          <w:lang w:bidi="ar"/>
        </w:rPr>
        <w:t>同类型项目自愿参与竞价形成，</w:t>
      </w:r>
      <w:r>
        <w:rPr>
          <w:rFonts w:hint="eastAsia"/>
          <w:color w:val="auto"/>
          <w:szCs w:val="32"/>
          <w:lang w:val="en-US" w:eastAsia="zh-CN" w:bidi="ar"/>
        </w:rPr>
        <w:t>具体按照</w:t>
      </w:r>
      <w:r>
        <w:rPr>
          <w:rFonts w:hint="eastAsia"/>
          <w:color w:val="auto"/>
        </w:rPr>
        <w:t>《贵州省深化新能源上网电价市场化改革的实施方案》</w:t>
      </w:r>
      <w:r>
        <w:rPr>
          <w:rFonts w:hint="eastAsia"/>
          <w:color w:val="auto"/>
          <w:lang w:eastAsia="zh-CN"/>
        </w:rPr>
        <w:t>《贵州省增量新能源项目可持续发展机制竞价实施细则（试行）》</w:t>
      </w:r>
      <w:r>
        <w:rPr>
          <w:rFonts w:hint="eastAsia"/>
          <w:color w:val="auto"/>
          <w:lang w:val="en-US" w:eastAsia="zh-CN"/>
        </w:rPr>
        <w:t>及公示的竞价结果确定</w:t>
      </w:r>
      <w:r>
        <w:rPr>
          <w:rFonts w:hint="eastAsia" w:ascii="Times New Roman" w:hAnsi="Times New Roman" w:cs="Times New Roman"/>
          <w:color w:val="auto"/>
          <w:szCs w:val="32"/>
        </w:rPr>
        <w:t>。</w:t>
      </w:r>
    </w:p>
    <w:p w14:paraId="6CB43B19">
      <w:pPr>
        <w:numPr>
          <w:ilvl w:val="0"/>
          <w:numId w:val="1"/>
        </w:numPr>
        <w:adjustRightInd/>
        <w:spacing w:after="0"/>
        <w:ind w:firstLine="0" w:firstLineChars="0"/>
        <w:jc w:val="center"/>
        <w:textAlignment w:val="auto"/>
        <w:outlineLvl w:val="0"/>
        <w:rPr>
          <w:rFonts w:ascii="Times New Roman" w:hAnsi="Times New Roman" w:eastAsia="黑体" w:cs="Times New Roman"/>
          <w:color w:val="auto"/>
          <w:szCs w:val="32"/>
        </w:rPr>
      </w:pPr>
      <w:r>
        <w:rPr>
          <w:rFonts w:hint="eastAsia" w:ascii="Times New Roman" w:hAnsi="Times New Roman" w:eastAsia="黑体" w:cs="Times New Roman"/>
          <w:color w:val="auto"/>
          <w:szCs w:val="32"/>
        </w:rPr>
        <w:t>新能源</w:t>
      </w:r>
      <w:r>
        <w:rPr>
          <w:rFonts w:hint="eastAsia" w:ascii="Times New Roman" w:hAnsi="Times New Roman" w:eastAsia="黑体" w:cs="Times New Roman"/>
          <w:color w:val="auto"/>
          <w:szCs w:val="32"/>
          <w:lang w:val="en-US" w:eastAsia="zh-CN"/>
        </w:rPr>
        <w:t>项目</w:t>
      </w:r>
      <w:r>
        <w:rPr>
          <w:rFonts w:hint="eastAsia" w:ascii="Times New Roman" w:hAnsi="Times New Roman" w:eastAsia="黑体" w:cs="Times New Roman"/>
          <w:color w:val="auto"/>
          <w:szCs w:val="32"/>
        </w:rPr>
        <w:t>市场化结算</w:t>
      </w:r>
    </w:p>
    <w:p w14:paraId="1B7B1A73">
      <w:pPr>
        <w:widowControl w:val="0"/>
        <w:numPr>
          <w:ilvl w:val="0"/>
          <w:numId w:val="2"/>
        </w:numPr>
        <w:adjustRightInd/>
        <w:spacing w:after="0"/>
        <w:ind w:left="-10" w:firstLine="640" w:firstLineChars="0"/>
        <w:jc w:val="left"/>
        <w:textAlignment w:val="auto"/>
        <w:rPr>
          <w:rFonts w:hint="eastAsia" w:ascii="Times New Roman" w:hAnsi="Times New Roman"/>
          <w:color w:val="auto"/>
        </w:rPr>
      </w:pPr>
      <w:r>
        <w:rPr>
          <w:rFonts w:hint="eastAsia" w:ascii="Times New Roman" w:hAnsi="Times New Roman"/>
          <w:color w:val="auto"/>
          <w:lang w:val="en-US" w:eastAsia="zh-CN"/>
        </w:rPr>
        <w:t>结算方式</w:t>
      </w:r>
    </w:p>
    <w:p w14:paraId="4EA6369B">
      <w:pPr>
        <w:pStyle w:val="14"/>
        <w:spacing w:beforeAutospacing="0" w:after="0" w:afterAutospacing="0"/>
        <w:ind w:firstLine="640"/>
        <w:rPr>
          <w:rFonts w:hint="eastAsia"/>
          <w:color w:val="auto"/>
          <w:lang w:val="en-US" w:eastAsia="zh-CN"/>
        </w:rPr>
      </w:pPr>
      <w:r>
        <w:rPr>
          <w:rFonts w:hint="eastAsia"/>
          <w:color w:val="auto"/>
        </w:rPr>
        <w:t>直接</w:t>
      </w:r>
      <w:r>
        <w:rPr>
          <w:rFonts w:hint="eastAsia"/>
          <w:color w:val="auto"/>
          <w:lang w:val="en-US" w:eastAsia="zh-CN"/>
        </w:rPr>
        <w:t>或聚合</w:t>
      </w:r>
      <w:r>
        <w:rPr>
          <w:rFonts w:hint="eastAsia"/>
          <w:color w:val="auto"/>
        </w:rPr>
        <w:t>参与市场交易</w:t>
      </w:r>
      <w:r>
        <w:rPr>
          <w:rFonts w:hint="eastAsia"/>
          <w:color w:val="auto"/>
          <w:lang w:val="en-US" w:eastAsia="zh-CN"/>
        </w:rPr>
        <w:t>的新能源项目，由交易中心按照我省电力市场相关规则或方案开展结算，按月出具结算单。</w:t>
      </w:r>
    </w:p>
    <w:p w14:paraId="6F349A3F">
      <w:pPr>
        <w:pStyle w:val="14"/>
        <w:spacing w:beforeAutospacing="0" w:after="0" w:afterAutospacing="0"/>
        <w:ind w:firstLine="640"/>
        <w:rPr>
          <w:rFonts w:hint="eastAsia"/>
          <w:color w:val="auto"/>
        </w:rPr>
      </w:pPr>
      <w:r>
        <w:rPr>
          <w:rFonts w:hint="eastAsia"/>
          <w:color w:val="auto"/>
        </w:rPr>
        <w:t>作为价格接受者的新能源项目</w:t>
      </w:r>
      <w:r>
        <w:rPr>
          <w:rFonts w:hint="eastAsia"/>
          <w:color w:val="auto"/>
          <w:lang w:eastAsia="zh-CN"/>
        </w:rPr>
        <w:t>，</w:t>
      </w:r>
      <w:r>
        <w:rPr>
          <w:rFonts w:hint="eastAsia"/>
          <w:color w:val="auto"/>
          <w:lang w:val="en-US" w:eastAsia="zh-CN"/>
        </w:rPr>
        <w:t>由电网企业接收交易中心推送的对应市场价格后开展结算，按月出具结算单。</w:t>
      </w:r>
    </w:p>
    <w:p w14:paraId="3C9BDB24">
      <w:pPr>
        <w:widowControl w:val="0"/>
        <w:numPr>
          <w:ilvl w:val="0"/>
          <w:numId w:val="2"/>
        </w:numPr>
        <w:adjustRightInd/>
        <w:spacing w:after="0"/>
        <w:ind w:left="-10" w:firstLine="640" w:firstLineChars="0"/>
        <w:jc w:val="left"/>
        <w:textAlignment w:val="auto"/>
        <w:rPr>
          <w:rFonts w:hint="eastAsia"/>
          <w:color w:val="auto"/>
        </w:rPr>
      </w:pPr>
      <w:r>
        <w:rPr>
          <w:rFonts w:hint="eastAsia"/>
          <w:strike w:val="0"/>
          <w:color w:val="auto"/>
          <w:lang w:val="en-US" w:eastAsia="zh-CN"/>
        </w:rPr>
        <w:t>价格接受者的新能源项目</w:t>
      </w:r>
      <w:r>
        <w:rPr>
          <w:rFonts w:hint="eastAsia"/>
          <w:color w:val="auto"/>
        </w:rPr>
        <w:t>结算价格选取原则</w:t>
      </w:r>
    </w:p>
    <w:p w14:paraId="3ABC0E80">
      <w:pPr>
        <w:spacing w:after="0" w:afterAutospacing="0"/>
        <w:ind w:firstLine="640" w:firstLineChars="200"/>
        <w:rPr>
          <w:rFonts w:hint="eastAsia"/>
          <w:color w:val="auto"/>
          <w:lang w:val="en-US" w:eastAsia="zh-CN"/>
        </w:rPr>
      </w:pPr>
      <w:r>
        <w:rPr>
          <w:rFonts w:hint="eastAsia"/>
          <w:strike w:val="0"/>
          <w:color w:val="auto"/>
          <w:lang w:val="en-US" w:eastAsia="zh-CN"/>
        </w:rPr>
        <w:t>现货市场运行期间，作为价格接受者的新能源项目，</w:t>
      </w:r>
      <w:r>
        <w:rPr>
          <w:rFonts w:hint="eastAsia"/>
          <w:color w:val="auto"/>
          <w:lang w:val="en-US" w:eastAsia="zh-CN"/>
        </w:rPr>
        <w:t>具备分时计量条件的，采用所在节点分时电价</w:t>
      </w:r>
      <w:r>
        <w:rPr>
          <w:rFonts w:hint="eastAsia"/>
          <w:color w:val="auto"/>
        </w:rPr>
        <w:t>开展结算</w:t>
      </w:r>
      <w:r>
        <w:rPr>
          <w:rFonts w:hint="eastAsia"/>
          <w:color w:val="auto"/>
          <w:lang w:eastAsia="zh-CN"/>
        </w:rPr>
        <w:t>；</w:t>
      </w:r>
      <w:r>
        <w:rPr>
          <w:rFonts w:hint="eastAsia"/>
          <w:color w:val="auto"/>
          <w:lang w:val="en-US" w:eastAsia="zh-CN"/>
        </w:rPr>
        <w:t>不具备分时计量条件</w:t>
      </w:r>
      <w:r>
        <w:rPr>
          <w:rFonts w:hint="eastAsia"/>
          <w:color w:val="auto"/>
        </w:rPr>
        <w:t>的</w:t>
      </w:r>
      <w:r>
        <w:rPr>
          <w:rFonts w:hint="eastAsia"/>
          <w:color w:val="auto"/>
          <w:lang w:eastAsia="zh-CN"/>
        </w:rPr>
        <w:t>，</w:t>
      </w:r>
      <w:r>
        <w:rPr>
          <w:rFonts w:hint="eastAsia"/>
          <w:color w:val="auto"/>
          <w:lang w:val="en-US" w:eastAsia="zh-CN"/>
        </w:rPr>
        <w:t>按照不同电源类型（风电、光伏）典型曲线拟合形成分时电量，采用所在节点分时电价</w:t>
      </w:r>
      <w:r>
        <w:rPr>
          <w:rFonts w:hint="eastAsia"/>
          <w:color w:val="auto"/>
        </w:rPr>
        <w:t>开展结算</w:t>
      </w:r>
      <w:r>
        <w:rPr>
          <w:rFonts w:hint="eastAsia"/>
          <w:color w:val="auto"/>
          <w:lang w:eastAsia="zh-CN"/>
        </w:rPr>
        <w:t>。</w:t>
      </w:r>
      <w:r>
        <w:rPr>
          <w:rFonts w:hint="eastAsia"/>
          <w:color w:val="auto"/>
          <w:lang w:val="en-US" w:eastAsia="zh-CN"/>
        </w:rPr>
        <w:t>拟合规则按照电量数据拟合相关规定执行。</w:t>
      </w:r>
    </w:p>
    <w:p w14:paraId="6A6FE31C">
      <w:pPr>
        <w:spacing w:after="0" w:afterAutospacing="0"/>
        <w:ind w:firstLine="640" w:firstLineChars="200"/>
        <w:rPr>
          <w:rFonts w:hint="default" w:eastAsia="仿宋_GB2312"/>
          <w:color w:val="auto"/>
          <w:lang w:val="en-US" w:eastAsia="zh-CN"/>
        </w:rPr>
      </w:pPr>
      <w:r>
        <w:rPr>
          <w:rFonts w:hint="eastAsia"/>
          <w:color w:val="auto"/>
          <w:lang w:val="en-US" w:eastAsia="zh-CN"/>
        </w:rPr>
        <w:t>由于单个发电项目与多个220kV变电站存在联结关系导致存在多个对应节点电价的，取该项目所有对应节点电价的算术平均值作为结算价格。</w:t>
      </w:r>
    </w:p>
    <w:p w14:paraId="41DBD781">
      <w:pPr>
        <w:numPr>
          <w:ilvl w:val="255"/>
          <w:numId w:val="0"/>
        </w:numPr>
        <w:spacing w:beforeAutospacing="0" w:after="0" w:afterAutospacing="0"/>
        <w:ind w:firstLine="640" w:firstLineChars="200"/>
        <w:rPr>
          <w:rFonts w:hint="eastAsia"/>
          <w:color w:val="auto"/>
        </w:rPr>
      </w:pPr>
      <w:r>
        <w:rPr>
          <w:rFonts w:hint="eastAsia"/>
          <w:color w:val="auto"/>
          <w:lang w:val="en-US" w:eastAsia="zh-CN"/>
        </w:rPr>
        <w:t>非现货市场运行期间</w:t>
      </w:r>
      <w:r>
        <w:rPr>
          <w:rFonts w:hint="eastAsia"/>
          <w:color w:val="auto"/>
        </w:rPr>
        <w:t>，作为接受价格者的新能源项目，采用规定的正偏差电量（超发电量）价格</w:t>
      </w:r>
      <w:r>
        <w:rPr>
          <w:rFonts w:hint="eastAsia"/>
          <w:color w:val="auto"/>
          <w:lang w:val="en-US" w:eastAsia="zh-CN"/>
        </w:rPr>
        <w:t>开展结算</w:t>
      </w:r>
      <w:r>
        <w:rPr>
          <w:rFonts w:hint="eastAsia"/>
          <w:color w:val="auto"/>
        </w:rPr>
        <w:t>。</w:t>
      </w:r>
    </w:p>
    <w:p w14:paraId="04E52950">
      <w:pPr>
        <w:numPr>
          <w:ilvl w:val="0"/>
          <w:numId w:val="1"/>
        </w:numPr>
        <w:adjustRightInd/>
        <w:spacing w:after="0"/>
        <w:ind w:firstLine="0" w:firstLineChars="0"/>
        <w:jc w:val="center"/>
        <w:textAlignment w:val="auto"/>
        <w:outlineLvl w:val="0"/>
        <w:rPr>
          <w:rFonts w:ascii="Times New Roman" w:hAnsi="Times New Roman" w:eastAsia="楷体_GB2312" w:cs="Times New Roman"/>
          <w:color w:val="auto"/>
          <w:kern w:val="2"/>
          <w:szCs w:val="32"/>
        </w:rPr>
      </w:pPr>
      <w:r>
        <w:rPr>
          <w:rFonts w:ascii="Times New Roman" w:hAnsi="Times New Roman" w:eastAsia="黑体" w:cs="Times New Roman"/>
          <w:color w:val="auto"/>
          <w:szCs w:val="32"/>
        </w:rPr>
        <w:t>新能源</w:t>
      </w:r>
      <w:r>
        <w:rPr>
          <w:rFonts w:hint="eastAsia" w:ascii="Times New Roman" w:hAnsi="Times New Roman" w:eastAsia="黑体" w:cs="Times New Roman"/>
          <w:color w:val="auto"/>
          <w:szCs w:val="32"/>
          <w:lang w:val="en-US" w:eastAsia="zh-CN"/>
        </w:rPr>
        <w:t>项目</w:t>
      </w:r>
      <w:r>
        <w:rPr>
          <w:rFonts w:hint="eastAsia" w:ascii="Times New Roman" w:hAnsi="Times New Roman" w:eastAsia="黑体" w:cs="Times New Roman"/>
          <w:color w:val="auto"/>
          <w:szCs w:val="32"/>
        </w:rPr>
        <w:t>机制电量差价</w:t>
      </w:r>
      <w:r>
        <w:rPr>
          <w:rFonts w:ascii="Times New Roman" w:hAnsi="Times New Roman" w:eastAsia="黑体" w:cs="Times New Roman"/>
          <w:color w:val="auto"/>
          <w:szCs w:val="32"/>
        </w:rPr>
        <w:t>电费结算</w:t>
      </w:r>
    </w:p>
    <w:p w14:paraId="55B2F1E8">
      <w:pPr>
        <w:widowControl w:val="0"/>
        <w:numPr>
          <w:ilvl w:val="0"/>
          <w:numId w:val="2"/>
        </w:numPr>
        <w:adjustRightInd/>
        <w:spacing w:after="0"/>
        <w:ind w:left="-10" w:firstLine="640" w:firstLineChars="0"/>
        <w:jc w:val="left"/>
        <w:textAlignment w:val="auto"/>
        <w:rPr>
          <w:rFonts w:hint="eastAsia" w:ascii="仿宋_GB2312" w:hAnsi="仿宋_GB2312" w:eastAsia="仿宋_GB2312" w:cs="仿宋_GB2312"/>
          <w:b w:val="0"/>
          <w:bCs w:val="0"/>
          <w:color w:val="auto"/>
          <w:szCs w:val="32"/>
        </w:rPr>
      </w:pPr>
      <w:r>
        <w:rPr>
          <w:rFonts w:hint="eastAsia" w:ascii="仿宋_GB2312" w:hAnsi="仿宋_GB2312" w:eastAsia="仿宋_GB2312" w:cs="仿宋_GB2312"/>
          <w:b w:val="0"/>
          <w:bCs w:val="0"/>
          <w:color w:val="auto"/>
          <w:szCs w:val="32"/>
          <w:lang w:val="en-US" w:eastAsia="zh-CN"/>
        </w:rPr>
        <w:t>机制电量计算</w:t>
      </w:r>
    </w:p>
    <w:p w14:paraId="3B4CB213">
      <w:pPr>
        <w:pStyle w:val="2"/>
        <w:spacing w:after="0" w:afterAutospacing="0"/>
        <w:ind w:left="0" w:leftChars="0" w:firstLine="640" w:firstLineChars="200"/>
        <w:rPr>
          <w:rFonts w:hint="default" w:ascii="Times New Roman" w:hAnsi="Times New Roman" w:eastAsia="仿宋_GB2312" w:cs="仿宋_GB2312"/>
          <w:i w:val="0"/>
          <w:iCs w:val="0"/>
          <w:caps w:val="0"/>
          <w:color w:val="auto"/>
          <w:spacing w:val="0"/>
          <w:kern w:val="0"/>
          <w:sz w:val="32"/>
          <w:szCs w:val="32"/>
          <w:highlight w:val="none"/>
          <w:lang w:val="en-US" w:eastAsia="zh-CN" w:bidi="ar"/>
        </w:rPr>
      </w:pPr>
      <w:r>
        <w:rPr>
          <w:rFonts w:hint="eastAsia" w:ascii="Times New Roman" w:hAnsi="Times New Roman" w:cs="仿宋_GB2312"/>
          <w:i w:val="0"/>
          <w:iCs w:val="0"/>
          <w:caps w:val="0"/>
          <w:color w:val="auto"/>
          <w:spacing w:val="0"/>
          <w:kern w:val="0"/>
          <w:sz w:val="32"/>
          <w:szCs w:val="32"/>
          <w:highlight w:val="none"/>
          <w:lang w:val="en-US" w:eastAsia="zh-CN" w:bidi="ar"/>
        </w:rPr>
        <w:t>月度机制电量根据实际上网电量和机制电量比例进行计算，</w:t>
      </w:r>
      <w:r>
        <w:rPr>
          <w:rFonts w:hint="eastAsia" w:cs="仿宋_GB2312"/>
          <w:i w:val="0"/>
          <w:iCs w:val="0"/>
          <w:caps w:val="0"/>
          <w:color w:val="auto"/>
          <w:spacing w:val="0"/>
          <w:kern w:val="0"/>
          <w:sz w:val="32"/>
          <w:szCs w:val="32"/>
          <w:highlight w:val="none"/>
          <w:lang w:val="en-US" w:eastAsia="zh-CN" w:bidi="ar"/>
        </w:rPr>
        <w:t>一个自然年内，月度</w:t>
      </w:r>
      <w:r>
        <w:rPr>
          <w:rFonts w:hint="eastAsia" w:ascii="Times New Roman" w:hAnsi="Times New Roman" w:cs="仿宋_GB2312"/>
          <w:i w:val="0"/>
          <w:iCs w:val="0"/>
          <w:caps w:val="0"/>
          <w:color w:val="auto"/>
          <w:spacing w:val="0"/>
          <w:kern w:val="0"/>
          <w:sz w:val="32"/>
          <w:szCs w:val="32"/>
          <w:highlight w:val="none"/>
          <w:lang w:val="en-US" w:eastAsia="zh-CN" w:bidi="ar"/>
        </w:rPr>
        <w:t>机制电量</w:t>
      </w:r>
      <w:r>
        <w:rPr>
          <w:rFonts w:hint="eastAsia" w:cs="仿宋_GB2312"/>
          <w:i w:val="0"/>
          <w:iCs w:val="0"/>
          <w:caps w:val="0"/>
          <w:color w:val="auto"/>
          <w:spacing w:val="0"/>
          <w:kern w:val="0"/>
          <w:sz w:val="32"/>
          <w:szCs w:val="32"/>
          <w:highlight w:val="none"/>
          <w:lang w:val="en-US" w:eastAsia="zh-CN" w:bidi="ar"/>
        </w:rPr>
        <w:t>之和</w:t>
      </w:r>
      <w:r>
        <w:rPr>
          <w:rFonts w:hint="eastAsia" w:ascii="Times New Roman" w:hAnsi="Times New Roman" w:cs="仿宋_GB2312"/>
          <w:i w:val="0"/>
          <w:iCs w:val="0"/>
          <w:caps w:val="0"/>
          <w:color w:val="auto"/>
          <w:spacing w:val="0"/>
          <w:kern w:val="0"/>
          <w:sz w:val="32"/>
          <w:szCs w:val="32"/>
          <w:highlight w:val="none"/>
          <w:lang w:val="en-US" w:eastAsia="zh-CN" w:bidi="ar"/>
        </w:rPr>
        <w:t>不得超过竞价时</w:t>
      </w:r>
      <w:r>
        <w:rPr>
          <w:rFonts w:hint="eastAsia" w:cs="仿宋_GB2312"/>
          <w:i w:val="0"/>
          <w:iCs w:val="0"/>
          <w:caps w:val="0"/>
          <w:color w:val="auto"/>
          <w:spacing w:val="0"/>
          <w:kern w:val="0"/>
          <w:sz w:val="32"/>
          <w:szCs w:val="32"/>
          <w:highlight w:val="none"/>
          <w:lang w:val="en-US" w:eastAsia="zh-CN" w:bidi="ar"/>
        </w:rPr>
        <w:t>年度</w:t>
      </w:r>
      <w:r>
        <w:rPr>
          <w:rFonts w:hint="eastAsia" w:ascii="Times New Roman" w:hAnsi="Times New Roman" w:cs="仿宋_GB2312"/>
          <w:i w:val="0"/>
          <w:iCs w:val="0"/>
          <w:caps w:val="0"/>
          <w:color w:val="auto"/>
          <w:spacing w:val="0"/>
          <w:kern w:val="0"/>
          <w:sz w:val="32"/>
          <w:szCs w:val="32"/>
          <w:highlight w:val="none"/>
          <w:lang w:val="en-US" w:eastAsia="zh-CN" w:bidi="ar"/>
        </w:rPr>
        <w:t>中标规模。</w:t>
      </w:r>
      <w:r>
        <w:rPr>
          <w:rFonts w:hint="eastAsia" w:cs="仿宋_GB2312"/>
          <w:i w:val="0"/>
          <w:iCs w:val="0"/>
          <w:caps w:val="0"/>
          <w:color w:val="auto"/>
          <w:spacing w:val="0"/>
          <w:kern w:val="0"/>
          <w:sz w:val="32"/>
          <w:szCs w:val="32"/>
          <w:highlight w:val="none"/>
          <w:lang w:val="en-US" w:eastAsia="zh-CN" w:bidi="ar"/>
        </w:rPr>
        <w:t>机制电量规模、比例等按照双方签订的差价协议执行。</w:t>
      </w:r>
    </w:p>
    <w:p w14:paraId="27B5F5AF">
      <w:pPr>
        <w:spacing w:after="0" w:afterAutospacing="0"/>
        <w:ind w:firstLine="640" w:firstLineChars="200"/>
        <w:rPr>
          <w:rFonts w:hint="eastAsia" w:ascii="Times New Roman" w:hAnsi="Times New Roman" w:cs="仿宋_GB2312"/>
          <w:i w:val="0"/>
          <w:iCs w:val="0"/>
          <w:caps w:val="0"/>
          <w:color w:val="auto"/>
          <w:spacing w:val="0"/>
          <w:kern w:val="0"/>
          <w:sz w:val="32"/>
          <w:szCs w:val="32"/>
          <w:highlight w:val="none"/>
          <w:lang w:val="en-US" w:eastAsia="zh-CN" w:bidi="ar"/>
        </w:rPr>
      </w:pPr>
      <w:r>
        <w:rPr>
          <w:rFonts w:hint="eastAsia" w:ascii="Times New Roman" w:hAnsi="Times New Roman" w:eastAsia="仿宋_GB2312" w:cs="仿宋_GB2312"/>
          <w:i w:val="0"/>
          <w:iCs w:val="0"/>
          <w:caps w:val="0"/>
          <w:color w:val="auto"/>
          <w:spacing w:val="0"/>
          <w:kern w:val="0"/>
          <w:sz w:val="32"/>
          <w:szCs w:val="32"/>
          <w:highlight w:val="none"/>
          <w:lang w:val="en-US" w:eastAsia="zh-CN" w:bidi="ar"/>
        </w:rPr>
        <w:t>机制电量</w:t>
      </w:r>
      <w:r>
        <w:rPr>
          <w:rFonts w:hint="eastAsia" w:ascii="Times New Roman" w:hAnsi="Times New Roman" w:cs="仿宋_GB2312"/>
          <w:i w:val="0"/>
          <w:iCs w:val="0"/>
          <w:caps w:val="0"/>
          <w:color w:val="auto"/>
          <w:spacing w:val="0"/>
          <w:kern w:val="0"/>
          <w:sz w:val="32"/>
          <w:szCs w:val="32"/>
          <w:highlight w:val="none"/>
          <w:lang w:val="en-US" w:eastAsia="zh-CN" w:bidi="ar"/>
        </w:rPr>
        <w:t>=月度上网电量*月度机制电量比例，其中月度机制电量比例与年度机制电量比例相同。</w:t>
      </w:r>
    </w:p>
    <w:p w14:paraId="56E325B5">
      <w:pPr>
        <w:widowControl w:val="0"/>
        <w:numPr>
          <w:ilvl w:val="0"/>
          <w:numId w:val="2"/>
        </w:numPr>
        <w:adjustRightInd/>
        <w:spacing w:beforeAutospacing="0" w:after="0"/>
        <w:ind w:left="-10" w:firstLine="640" w:firstLineChars="0"/>
        <w:jc w:val="left"/>
        <w:textAlignment w:val="auto"/>
        <w:rPr>
          <w:rFonts w:hint="eastAsia" w:ascii="仿宋_GB2312" w:hAnsi="仿宋_GB2312" w:eastAsia="仿宋_GB2312" w:cs="仿宋_GB2312"/>
          <w:b w:val="0"/>
          <w:bCs w:val="0"/>
          <w:color w:val="auto"/>
          <w:szCs w:val="32"/>
        </w:rPr>
      </w:pPr>
      <w:r>
        <w:rPr>
          <w:rFonts w:hint="eastAsia" w:ascii="仿宋_GB2312" w:hAnsi="仿宋_GB2312" w:eastAsia="仿宋_GB2312" w:cs="仿宋_GB2312"/>
          <w:b w:val="0"/>
          <w:bCs w:val="0"/>
          <w:color w:val="auto"/>
          <w:szCs w:val="32"/>
          <w:lang w:val="en-US" w:eastAsia="zh-CN"/>
        </w:rPr>
        <w:t>机制电量差价电费结算</w:t>
      </w:r>
    </w:p>
    <w:p w14:paraId="17E0D8F5">
      <w:pPr>
        <w:pStyle w:val="2"/>
        <w:spacing w:beforeAutospacing="0" w:after="0" w:afterAutospacing="0"/>
        <w:ind w:left="0" w:leftChars="0" w:firstLine="640" w:firstLineChars="200"/>
        <w:rPr>
          <w:rFonts w:hint="eastAsia" w:eastAsia="仿宋_GB2312"/>
          <w:color w:val="auto"/>
          <w:lang w:val="en-US" w:eastAsia="zh-CN"/>
        </w:rPr>
      </w:pPr>
      <w:r>
        <w:rPr>
          <w:rFonts w:hint="eastAsia" w:ascii="Times New Roman" w:hAnsi="Times New Roman" w:cs="仿宋_GB2312"/>
          <w:i w:val="0"/>
          <w:iCs w:val="0"/>
          <w:caps w:val="0"/>
          <w:color w:val="auto"/>
          <w:spacing w:val="0"/>
          <w:kern w:val="0"/>
          <w:sz w:val="32"/>
          <w:szCs w:val="32"/>
          <w:highlight w:val="none"/>
          <w:lang w:val="en-US" w:eastAsia="zh-CN" w:bidi="ar"/>
        </w:rPr>
        <w:t>月度机制电量确认后，电网企业根据机制电价、</w:t>
      </w:r>
      <w:r>
        <w:rPr>
          <w:rFonts w:hint="eastAsia" w:cs="仿宋_GB2312"/>
          <w:i w:val="0"/>
          <w:iCs w:val="0"/>
          <w:caps w:val="0"/>
          <w:color w:val="auto"/>
          <w:spacing w:val="0"/>
          <w:kern w:val="0"/>
          <w:sz w:val="32"/>
          <w:szCs w:val="32"/>
          <w:highlight w:val="none"/>
          <w:lang w:val="en-US" w:eastAsia="zh-CN" w:bidi="ar"/>
        </w:rPr>
        <w:t>市场交易均价</w:t>
      </w:r>
      <w:r>
        <w:rPr>
          <w:rFonts w:hint="eastAsia" w:ascii="Times New Roman" w:hAnsi="Times New Roman" w:cs="仿宋_GB2312"/>
          <w:i w:val="0"/>
          <w:iCs w:val="0"/>
          <w:caps w:val="0"/>
          <w:color w:val="auto"/>
          <w:spacing w:val="0"/>
          <w:kern w:val="0"/>
          <w:sz w:val="32"/>
          <w:szCs w:val="32"/>
          <w:highlight w:val="none"/>
          <w:lang w:val="en-US" w:eastAsia="zh-CN" w:bidi="ar"/>
        </w:rPr>
        <w:t>计算机制电量差价电费。</w:t>
      </w:r>
    </w:p>
    <w:p w14:paraId="2E1F8DD5">
      <w:pPr>
        <w:spacing w:after="0" w:afterAutospacing="0"/>
        <w:ind w:firstLine="640" w:firstLineChars="200"/>
        <w:jc w:val="left"/>
        <w:rPr>
          <w:rFonts w:hint="eastAsia" w:ascii="Arial" w:hAnsi="Arial" w:cs="Arial"/>
          <w:color w:val="auto"/>
          <w:szCs w:val="32"/>
          <w:highlight w:val="none"/>
        </w:rPr>
      </w:pPr>
      <w:r>
        <w:rPr>
          <w:rFonts w:hint="eastAsia" w:cs="Times New Roman"/>
          <w:color w:val="auto"/>
          <w:szCs w:val="32"/>
          <w:highlight w:val="none"/>
        </w:rPr>
        <w:t>机制电量差价电费=机制电量</w:t>
      </w:r>
      <w:r>
        <w:rPr>
          <w:rFonts w:ascii="Arial" w:hAnsi="Arial" w:cs="Arial"/>
          <w:color w:val="auto"/>
          <w:szCs w:val="32"/>
          <w:highlight w:val="none"/>
        </w:rPr>
        <w:t>×</w:t>
      </w:r>
      <w:r>
        <w:rPr>
          <w:rFonts w:hint="eastAsia" w:ascii="Arial" w:hAnsi="Arial" w:cs="Arial"/>
          <w:color w:val="auto"/>
          <w:szCs w:val="32"/>
          <w:highlight w:val="none"/>
        </w:rPr>
        <w:t>（机制电价-市场交易均价）</w:t>
      </w:r>
    </w:p>
    <w:p w14:paraId="379E8BF4">
      <w:pPr>
        <w:pStyle w:val="2"/>
        <w:spacing w:after="0" w:afterLines="0"/>
        <w:ind w:firstLine="640" w:firstLineChars="200"/>
        <w:rPr>
          <w:color w:val="auto"/>
          <w:highlight w:val="none"/>
        </w:rPr>
      </w:pPr>
      <w:r>
        <w:rPr>
          <w:rFonts w:hint="eastAsia" w:cs="Times New Roman"/>
          <w:color w:val="auto"/>
          <w:szCs w:val="32"/>
          <w:highlight w:val="none"/>
        </w:rPr>
        <w:t>因</w:t>
      </w:r>
      <w:r>
        <w:rPr>
          <w:rFonts w:hint="eastAsia" w:cs="Times New Roman"/>
          <w:color w:val="auto"/>
          <w:szCs w:val="32"/>
          <w:highlight w:val="none"/>
          <w:lang w:val="en-US" w:eastAsia="zh-CN"/>
        </w:rPr>
        <w:t>其他</w:t>
      </w:r>
      <w:r>
        <w:rPr>
          <w:rFonts w:hint="eastAsia" w:cs="Times New Roman"/>
          <w:color w:val="auto"/>
          <w:szCs w:val="32"/>
          <w:highlight w:val="none"/>
        </w:rPr>
        <w:t>原因</w:t>
      </w:r>
      <w:r>
        <w:rPr>
          <w:rFonts w:hint="eastAsia" w:cs="Times New Roman"/>
          <w:color w:val="auto"/>
          <w:szCs w:val="32"/>
          <w:highlight w:val="none"/>
          <w:lang w:val="en-US" w:eastAsia="zh-CN"/>
        </w:rPr>
        <w:t>造成</w:t>
      </w:r>
      <w:r>
        <w:rPr>
          <w:rFonts w:hint="eastAsia" w:cs="Times New Roman"/>
          <w:color w:val="auto"/>
          <w:szCs w:val="32"/>
          <w:highlight w:val="none"/>
        </w:rPr>
        <w:t>电量</w:t>
      </w:r>
      <w:r>
        <w:rPr>
          <w:rFonts w:hint="eastAsia" w:cs="Times New Roman"/>
          <w:color w:val="auto"/>
          <w:szCs w:val="32"/>
          <w:highlight w:val="none"/>
          <w:lang w:val="en-US" w:eastAsia="zh-CN"/>
        </w:rPr>
        <w:t>电费</w:t>
      </w:r>
      <w:r>
        <w:rPr>
          <w:rFonts w:hint="eastAsia" w:cs="Times New Roman"/>
          <w:color w:val="auto"/>
          <w:szCs w:val="32"/>
          <w:highlight w:val="none"/>
        </w:rPr>
        <w:t>退补</w:t>
      </w:r>
      <w:r>
        <w:rPr>
          <w:rFonts w:hint="eastAsia" w:cs="Times New Roman"/>
          <w:color w:val="auto"/>
          <w:szCs w:val="32"/>
          <w:highlight w:val="none"/>
          <w:lang w:val="en-US" w:eastAsia="zh-CN"/>
        </w:rPr>
        <w:t>且需对机制电量进行清算的，</w:t>
      </w:r>
      <w:r>
        <w:rPr>
          <w:rFonts w:hint="eastAsia" w:cs="Times New Roman"/>
          <w:color w:val="auto"/>
          <w:szCs w:val="32"/>
          <w:highlight w:val="none"/>
        </w:rPr>
        <w:t>纳入发现</w:t>
      </w:r>
      <w:r>
        <w:rPr>
          <w:rFonts w:hint="eastAsia" w:cs="Times New Roman"/>
          <w:color w:val="auto"/>
          <w:szCs w:val="32"/>
          <w:highlight w:val="none"/>
          <w:lang w:val="en-US" w:eastAsia="zh-CN"/>
        </w:rPr>
        <w:t>当</w:t>
      </w:r>
      <w:r>
        <w:rPr>
          <w:rFonts w:hint="eastAsia" w:cs="Times New Roman"/>
          <w:color w:val="auto"/>
          <w:szCs w:val="32"/>
          <w:highlight w:val="none"/>
        </w:rPr>
        <w:t>月结算</w:t>
      </w:r>
      <w:r>
        <w:rPr>
          <w:rFonts w:hint="eastAsia" w:cs="Times New Roman"/>
          <w:color w:val="auto"/>
          <w:szCs w:val="32"/>
          <w:highlight w:val="none"/>
          <w:lang w:eastAsia="zh-CN"/>
        </w:rPr>
        <w:t>。</w:t>
      </w:r>
    </w:p>
    <w:p w14:paraId="1B0A7012">
      <w:pPr>
        <w:widowControl w:val="0"/>
        <w:numPr>
          <w:ilvl w:val="0"/>
          <w:numId w:val="2"/>
        </w:numPr>
        <w:adjustRightInd/>
        <w:spacing w:beforeLines="0" w:after="0"/>
        <w:ind w:left="-10" w:firstLine="640" w:firstLineChars="0"/>
        <w:jc w:val="left"/>
        <w:textAlignment w:val="auto"/>
        <w:rPr>
          <w:rFonts w:hint="eastAsia" w:ascii="仿宋_GB2312" w:hAnsi="仿宋_GB2312" w:eastAsia="仿宋_GB2312" w:cs="仿宋_GB2312"/>
          <w:b w:val="0"/>
          <w:bCs w:val="0"/>
          <w:color w:val="auto"/>
          <w:szCs w:val="32"/>
        </w:rPr>
      </w:pPr>
      <w:r>
        <w:rPr>
          <w:rFonts w:hint="eastAsia" w:ascii="仿宋_GB2312" w:hAnsi="仿宋_GB2312" w:eastAsia="仿宋_GB2312" w:cs="仿宋_GB2312"/>
          <w:b w:val="0"/>
          <w:bCs w:val="0"/>
          <w:color w:val="auto"/>
          <w:szCs w:val="32"/>
          <w:lang w:val="en-US" w:eastAsia="zh-CN"/>
        </w:rPr>
        <w:t>机制电量</w:t>
      </w:r>
      <w:r>
        <w:rPr>
          <w:rFonts w:hint="eastAsia" w:ascii="仿宋_GB2312" w:hAnsi="仿宋_GB2312" w:eastAsia="仿宋_GB2312" w:cs="仿宋_GB2312"/>
          <w:b w:val="0"/>
          <w:bCs w:val="0"/>
          <w:color w:val="auto"/>
          <w:szCs w:val="32"/>
        </w:rPr>
        <w:t>差价</w:t>
      </w:r>
      <w:r>
        <w:rPr>
          <w:rFonts w:hint="eastAsia" w:ascii="仿宋_GB2312" w:hAnsi="仿宋_GB2312" w:eastAsia="仿宋_GB2312" w:cs="仿宋_GB2312"/>
          <w:b w:val="0"/>
          <w:bCs w:val="0"/>
          <w:color w:val="auto"/>
          <w:szCs w:val="32"/>
          <w:lang w:val="en-US" w:eastAsia="zh-CN"/>
        </w:rPr>
        <w:t>电费</w:t>
      </w:r>
      <w:r>
        <w:rPr>
          <w:rFonts w:hint="eastAsia" w:ascii="仿宋_GB2312" w:hAnsi="仿宋_GB2312" w:eastAsia="仿宋_GB2312" w:cs="仿宋_GB2312"/>
          <w:b w:val="0"/>
          <w:bCs w:val="0"/>
          <w:color w:val="auto"/>
          <w:szCs w:val="32"/>
        </w:rPr>
        <w:t>市场均价选取原则</w:t>
      </w:r>
    </w:p>
    <w:p w14:paraId="0C75161D">
      <w:pPr>
        <w:spacing w:after="0" w:afterAutospacing="0"/>
        <w:ind w:firstLine="640" w:firstLineChars="200"/>
        <w:jc w:val="left"/>
        <w:rPr>
          <w:rFonts w:hint="eastAsia" w:ascii="Times New Roman" w:hAnsi="Times New Roman" w:cs="Times New Roman"/>
          <w:color w:val="auto"/>
          <w:szCs w:val="32"/>
          <w:lang w:eastAsia="zh-CN"/>
        </w:rPr>
      </w:pPr>
      <w:r>
        <w:rPr>
          <w:rFonts w:hint="eastAsia" w:ascii="Times New Roman" w:hAnsi="Times New Roman" w:cs="Times New Roman"/>
          <w:color w:val="auto"/>
          <w:szCs w:val="32"/>
        </w:rPr>
        <w:t>按风电、光伏两个类别</w:t>
      </w:r>
      <w:r>
        <w:rPr>
          <w:rFonts w:hint="eastAsia" w:ascii="Times New Roman" w:hAnsi="Times New Roman" w:cs="Times New Roman"/>
          <w:color w:val="auto"/>
          <w:szCs w:val="32"/>
          <w:lang w:val="en-US" w:eastAsia="zh-CN"/>
        </w:rPr>
        <w:t>分别计算用于差价电费结算的</w:t>
      </w:r>
      <w:r>
        <w:rPr>
          <w:rFonts w:hint="eastAsia" w:ascii="Times New Roman" w:hAnsi="Times New Roman" w:cs="Times New Roman"/>
          <w:color w:val="auto"/>
          <w:szCs w:val="32"/>
        </w:rPr>
        <w:t>市场交易均价</w:t>
      </w:r>
      <w:r>
        <w:rPr>
          <w:rFonts w:hint="eastAsia" w:ascii="Times New Roman" w:hAnsi="Times New Roman" w:cs="Times New Roman"/>
          <w:color w:val="auto"/>
          <w:szCs w:val="32"/>
          <w:lang w:eastAsia="zh-CN"/>
        </w:rPr>
        <w:t>。</w:t>
      </w:r>
    </w:p>
    <w:p w14:paraId="704E8E4B">
      <w:pPr>
        <w:spacing w:after="0" w:afterAutospacing="0"/>
        <w:ind w:firstLine="640" w:firstLineChars="200"/>
        <w:jc w:val="both"/>
        <w:rPr>
          <w:rFonts w:hint="eastAsia" w:ascii="Times New Roman" w:hAnsi="Times New Roman" w:cs="Times New Roman"/>
          <w:color w:val="auto"/>
          <w:szCs w:val="32"/>
        </w:rPr>
      </w:pPr>
      <w:r>
        <w:rPr>
          <w:rFonts w:hint="eastAsia" w:ascii="Times New Roman" w:hAnsi="Times New Roman" w:cs="Times New Roman"/>
          <w:color w:val="auto"/>
          <w:szCs w:val="32"/>
        </w:rPr>
        <w:t>电力市场</w:t>
      </w:r>
      <w:r>
        <w:rPr>
          <w:rFonts w:hint="eastAsia" w:ascii="Times New Roman" w:hAnsi="Times New Roman" w:cs="Times New Roman"/>
          <w:color w:val="auto"/>
          <w:szCs w:val="32"/>
          <w:lang w:val="en-US" w:eastAsia="zh-CN"/>
        </w:rPr>
        <w:t>全月</w:t>
      </w:r>
      <w:r>
        <w:rPr>
          <w:rFonts w:hint="eastAsia" w:ascii="Times New Roman" w:hAnsi="Times New Roman" w:cs="Times New Roman"/>
          <w:color w:val="auto"/>
          <w:szCs w:val="32"/>
        </w:rPr>
        <w:t>现货连续</w:t>
      </w:r>
      <w:r>
        <w:rPr>
          <w:rFonts w:hint="eastAsia" w:ascii="Times New Roman" w:hAnsi="Times New Roman" w:cs="Times New Roman"/>
          <w:color w:val="auto"/>
          <w:szCs w:val="32"/>
          <w:lang w:val="en-US" w:eastAsia="zh-CN"/>
        </w:rPr>
        <w:t>试</w:t>
      </w:r>
      <w:r>
        <w:rPr>
          <w:rFonts w:hint="eastAsia" w:ascii="Times New Roman" w:hAnsi="Times New Roman" w:cs="Times New Roman"/>
          <w:color w:val="auto"/>
          <w:szCs w:val="32"/>
        </w:rPr>
        <w:t>运行</w:t>
      </w:r>
      <w:r>
        <w:rPr>
          <w:rFonts w:hint="eastAsia" w:ascii="Times New Roman" w:hAnsi="Times New Roman" w:cs="Times New Roman"/>
          <w:color w:val="auto"/>
          <w:szCs w:val="32"/>
          <w:lang w:val="en-US" w:eastAsia="zh-CN"/>
        </w:rPr>
        <w:t>或</w:t>
      </w:r>
      <w:r>
        <w:rPr>
          <w:rFonts w:hint="eastAsia" w:ascii="Times New Roman" w:hAnsi="Times New Roman" w:cs="Times New Roman"/>
          <w:color w:val="auto"/>
          <w:szCs w:val="32"/>
        </w:rPr>
        <w:t>正式运行后，按照月度发电侧实时市场</w:t>
      </w:r>
      <w:r>
        <w:rPr>
          <w:rFonts w:hint="eastAsia" w:ascii="Times New Roman" w:hAnsi="Times New Roman" w:cs="Times New Roman"/>
          <w:color w:val="auto"/>
          <w:szCs w:val="32"/>
          <w:lang w:val="en-US" w:eastAsia="zh-CN"/>
        </w:rPr>
        <w:t>报量报价的</w:t>
      </w:r>
      <w:r>
        <w:rPr>
          <w:rFonts w:hint="eastAsia" w:ascii="Times New Roman" w:hAnsi="Times New Roman" w:cs="Times New Roman"/>
          <w:color w:val="auto"/>
          <w:szCs w:val="32"/>
        </w:rPr>
        <w:t>同类项目出清加权均价确定</w:t>
      </w:r>
      <w:r>
        <w:rPr>
          <w:rFonts w:hint="eastAsia" w:ascii="Times New Roman" w:hAnsi="Times New Roman" w:cs="Times New Roman"/>
          <w:color w:val="auto"/>
          <w:szCs w:val="32"/>
          <w:lang w:eastAsia="zh-CN"/>
        </w:rPr>
        <w:t>；</w:t>
      </w:r>
      <w:r>
        <w:rPr>
          <w:rFonts w:hint="eastAsia" w:ascii="Times New Roman" w:hAnsi="Times New Roman" w:cs="Times New Roman"/>
          <w:color w:val="auto"/>
          <w:szCs w:val="32"/>
        </w:rPr>
        <w:t>未</w:t>
      </w:r>
      <w:r>
        <w:rPr>
          <w:rFonts w:hint="eastAsia" w:ascii="Times New Roman" w:hAnsi="Times New Roman" w:cs="Times New Roman"/>
          <w:color w:val="auto"/>
          <w:szCs w:val="32"/>
          <w:lang w:val="en-US" w:eastAsia="zh-CN"/>
        </w:rPr>
        <w:t>全月</w:t>
      </w:r>
      <w:r>
        <w:rPr>
          <w:rFonts w:hint="eastAsia" w:ascii="Times New Roman" w:hAnsi="Times New Roman" w:cs="Times New Roman"/>
          <w:color w:val="auto"/>
          <w:szCs w:val="32"/>
        </w:rPr>
        <w:t>现货连续</w:t>
      </w:r>
      <w:r>
        <w:rPr>
          <w:rFonts w:hint="eastAsia" w:ascii="Times New Roman" w:hAnsi="Times New Roman" w:cs="Times New Roman"/>
          <w:color w:val="auto"/>
          <w:szCs w:val="32"/>
          <w:lang w:val="en-US" w:eastAsia="zh-CN"/>
        </w:rPr>
        <w:t>试</w:t>
      </w:r>
      <w:r>
        <w:rPr>
          <w:rFonts w:hint="eastAsia" w:ascii="Times New Roman" w:hAnsi="Times New Roman" w:cs="Times New Roman"/>
          <w:color w:val="auto"/>
          <w:szCs w:val="32"/>
        </w:rPr>
        <w:t>运行期间，市场交易均价原则上按照</w:t>
      </w:r>
      <w:r>
        <w:rPr>
          <w:rFonts w:hint="eastAsia" w:ascii="Times New Roman" w:hAnsi="Times New Roman" w:cs="Times New Roman"/>
          <w:color w:val="auto"/>
          <w:szCs w:val="32"/>
          <w:lang w:val="en-US" w:eastAsia="zh-CN"/>
        </w:rPr>
        <w:t>省内</w:t>
      </w:r>
      <w:r>
        <w:rPr>
          <w:rFonts w:hint="eastAsia" w:ascii="Times New Roman" w:hAnsi="Times New Roman" w:cs="Times New Roman"/>
          <w:color w:val="auto"/>
          <w:szCs w:val="32"/>
        </w:rPr>
        <w:t>月度发电侧中长期交易同类项目</w:t>
      </w:r>
      <w:r>
        <w:rPr>
          <w:rFonts w:hint="eastAsia" w:ascii="Times New Roman" w:hAnsi="Times New Roman" w:cs="Times New Roman"/>
          <w:color w:val="auto"/>
          <w:szCs w:val="32"/>
          <w:lang w:val="en-US" w:eastAsia="zh-CN"/>
        </w:rPr>
        <w:t>签约</w:t>
      </w:r>
      <w:r>
        <w:rPr>
          <w:rFonts w:hint="eastAsia" w:ascii="Times New Roman" w:hAnsi="Times New Roman" w:cs="Times New Roman"/>
          <w:color w:val="auto"/>
          <w:szCs w:val="32"/>
        </w:rPr>
        <w:t>加权均价确定</w:t>
      </w:r>
      <w:r>
        <w:rPr>
          <w:rFonts w:hint="eastAsia" w:ascii="Times New Roman" w:hAnsi="Times New Roman" w:cs="Times New Roman"/>
          <w:color w:val="auto"/>
          <w:szCs w:val="32"/>
          <w:lang w:eastAsia="zh-CN"/>
        </w:rPr>
        <w:t>。</w:t>
      </w:r>
    </w:p>
    <w:p w14:paraId="03F91BE1">
      <w:pPr>
        <w:widowControl w:val="0"/>
        <w:numPr>
          <w:ilvl w:val="0"/>
          <w:numId w:val="2"/>
        </w:numPr>
        <w:adjustRightInd/>
        <w:spacing w:after="0"/>
        <w:ind w:left="-10" w:firstLine="640" w:firstLineChars="0"/>
        <w:jc w:val="left"/>
        <w:textAlignment w:val="auto"/>
        <w:rPr>
          <w:rFonts w:hint="eastAsia" w:ascii="仿宋_GB2312" w:hAnsi="仿宋_GB2312" w:eastAsia="仿宋_GB2312" w:cs="仿宋_GB2312"/>
          <w:b w:val="0"/>
          <w:bCs w:val="0"/>
          <w:color w:val="auto"/>
          <w:szCs w:val="32"/>
        </w:rPr>
      </w:pPr>
      <w:r>
        <w:rPr>
          <w:rFonts w:hint="eastAsia" w:ascii="仿宋_GB2312" w:hAnsi="仿宋_GB2312" w:eastAsia="仿宋_GB2312" w:cs="仿宋_GB2312"/>
          <w:b w:val="0"/>
          <w:bCs w:val="0"/>
          <w:color w:val="auto"/>
          <w:szCs w:val="32"/>
          <w:lang w:val="en-US" w:eastAsia="zh-CN"/>
        </w:rPr>
        <w:t>调试运行期</w:t>
      </w:r>
      <w:r>
        <w:rPr>
          <w:rFonts w:hint="eastAsia" w:cs="仿宋_GB2312"/>
          <w:b w:val="0"/>
          <w:bCs w:val="0"/>
          <w:color w:val="auto"/>
          <w:szCs w:val="32"/>
          <w:lang w:val="en-US" w:eastAsia="zh-CN"/>
        </w:rPr>
        <w:t>结算</w:t>
      </w:r>
    </w:p>
    <w:p w14:paraId="63BCC20F">
      <w:pPr>
        <w:pStyle w:val="2"/>
        <w:spacing w:beforeAutospacing="0" w:after="0" w:afterAutospacing="0"/>
        <w:ind w:left="0" w:leftChars="0" w:firstLine="640" w:firstLineChars="200"/>
        <w:rPr>
          <w:rFonts w:hint="default" w:ascii="Times New Roman" w:hAnsi="Times New Roman" w:cs="仿宋_GB2312"/>
          <w:i w:val="0"/>
          <w:iCs w:val="0"/>
          <w:caps w:val="0"/>
          <w:color w:val="auto"/>
          <w:spacing w:val="0"/>
          <w:kern w:val="0"/>
          <w:sz w:val="32"/>
          <w:szCs w:val="32"/>
          <w:highlight w:val="none"/>
          <w:lang w:val="en-US" w:eastAsia="zh-CN" w:bidi="ar"/>
        </w:rPr>
      </w:pPr>
      <w:r>
        <w:rPr>
          <w:rFonts w:hint="default" w:ascii="Times New Roman" w:hAnsi="Times New Roman" w:cs="仿宋_GB2312"/>
          <w:i w:val="0"/>
          <w:iCs w:val="0"/>
          <w:caps w:val="0"/>
          <w:color w:val="auto"/>
          <w:spacing w:val="0"/>
          <w:kern w:val="0"/>
          <w:sz w:val="32"/>
          <w:szCs w:val="32"/>
          <w:highlight w:val="none"/>
          <w:lang w:val="en-US" w:eastAsia="zh-CN" w:bidi="ar"/>
        </w:rPr>
        <w:t>新能源发电项目调试运行期上网电量，由电网企业收购，纳入代理购电电量来源</w:t>
      </w:r>
      <w:r>
        <w:rPr>
          <w:rFonts w:hint="eastAsia" w:cs="仿宋_GB2312"/>
          <w:i w:val="0"/>
          <w:iCs w:val="0"/>
          <w:caps w:val="0"/>
          <w:color w:val="auto"/>
          <w:spacing w:val="0"/>
          <w:kern w:val="0"/>
          <w:sz w:val="32"/>
          <w:szCs w:val="32"/>
          <w:highlight w:val="none"/>
          <w:lang w:val="en-US" w:eastAsia="zh-CN" w:bidi="ar"/>
        </w:rPr>
        <w:t>，</w:t>
      </w:r>
      <w:r>
        <w:rPr>
          <w:rFonts w:hint="default" w:ascii="Times New Roman" w:hAnsi="Times New Roman" w:cs="仿宋_GB2312"/>
          <w:i w:val="0"/>
          <w:iCs w:val="0"/>
          <w:caps w:val="0"/>
          <w:color w:val="auto"/>
          <w:spacing w:val="0"/>
          <w:kern w:val="0"/>
          <w:sz w:val="32"/>
          <w:szCs w:val="32"/>
          <w:highlight w:val="none"/>
          <w:lang w:val="en-US" w:eastAsia="zh-CN" w:bidi="ar"/>
        </w:rPr>
        <w:t>按照同类型</w:t>
      </w:r>
      <w:r>
        <w:rPr>
          <w:rFonts w:hint="eastAsia" w:cs="仿宋_GB2312"/>
          <w:i w:val="0"/>
          <w:iCs w:val="0"/>
          <w:caps w:val="0"/>
          <w:color w:val="auto"/>
          <w:spacing w:val="0"/>
          <w:kern w:val="0"/>
          <w:sz w:val="32"/>
          <w:szCs w:val="32"/>
          <w:highlight w:val="none"/>
          <w:lang w:val="en-US" w:eastAsia="zh-CN" w:bidi="ar"/>
        </w:rPr>
        <w:t>项目</w:t>
      </w:r>
      <w:r>
        <w:rPr>
          <w:rFonts w:hint="default" w:ascii="Times New Roman" w:hAnsi="Times New Roman" w:cs="仿宋_GB2312"/>
          <w:i w:val="0"/>
          <w:iCs w:val="0"/>
          <w:caps w:val="0"/>
          <w:color w:val="auto"/>
          <w:spacing w:val="0"/>
          <w:kern w:val="0"/>
          <w:sz w:val="32"/>
          <w:szCs w:val="32"/>
          <w:highlight w:val="none"/>
          <w:lang w:val="en-US" w:eastAsia="zh-CN" w:bidi="ar"/>
        </w:rPr>
        <w:t>当月代理购电市场化采购均价结算。同类型</w:t>
      </w:r>
      <w:r>
        <w:rPr>
          <w:rFonts w:hint="eastAsia" w:cs="仿宋_GB2312"/>
          <w:i w:val="0"/>
          <w:iCs w:val="0"/>
          <w:caps w:val="0"/>
          <w:color w:val="auto"/>
          <w:spacing w:val="0"/>
          <w:kern w:val="0"/>
          <w:sz w:val="32"/>
          <w:szCs w:val="32"/>
          <w:highlight w:val="none"/>
          <w:lang w:val="en-US" w:eastAsia="zh-CN" w:bidi="ar"/>
        </w:rPr>
        <w:t>项目</w:t>
      </w:r>
      <w:r>
        <w:rPr>
          <w:rFonts w:hint="default" w:ascii="Times New Roman" w:hAnsi="Times New Roman" w:cs="仿宋_GB2312"/>
          <w:i w:val="0"/>
          <w:iCs w:val="0"/>
          <w:caps w:val="0"/>
          <w:color w:val="auto"/>
          <w:spacing w:val="0"/>
          <w:kern w:val="0"/>
          <w:sz w:val="32"/>
          <w:szCs w:val="32"/>
          <w:highlight w:val="none"/>
          <w:lang w:val="en-US" w:eastAsia="zh-CN" w:bidi="ar"/>
        </w:rPr>
        <w:t>当月未形成代理购电市场化采购电量的，按照最近一次同类型</w:t>
      </w:r>
      <w:r>
        <w:rPr>
          <w:rFonts w:hint="eastAsia" w:cs="仿宋_GB2312"/>
          <w:i w:val="0"/>
          <w:iCs w:val="0"/>
          <w:caps w:val="0"/>
          <w:color w:val="auto"/>
          <w:spacing w:val="0"/>
          <w:kern w:val="0"/>
          <w:sz w:val="32"/>
          <w:szCs w:val="32"/>
          <w:highlight w:val="none"/>
          <w:lang w:val="en-US" w:eastAsia="zh-CN" w:bidi="ar"/>
        </w:rPr>
        <w:t>项目</w:t>
      </w:r>
      <w:r>
        <w:rPr>
          <w:rFonts w:hint="default" w:ascii="Times New Roman" w:hAnsi="Times New Roman" w:cs="仿宋_GB2312"/>
          <w:i w:val="0"/>
          <w:iCs w:val="0"/>
          <w:caps w:val="0"/>
          <w:color w:val="auto"/>
          <w:spacing w:val="0"/>
          <w:kern w:val="0"/>
          <w:sz w:val="32"/>
          <w:szCs w:val="32"/>
          <w:highlight w:val="none"/>
          <w:lang w:val="en-US" w:eastAsia="zh-CN" w:bidi="ar"/>
        </w:rPr>
        <w:t>月度代理购电</w:t>
      </w:r>
      <w:r>
        <w:rPr>
          <w:rFonts w:hint="eastAsia" w:cs="仿宋_GB2312"/>
          <w:i w:val="0"/>
          <w:iCs w:val="0"/>
          <w:caps w:val="0"/>
          <w:color w:val="auto"/>
          <w:spacing w:val="0"/>
          <w:kern w:val="0"/>
          <w:sz w:val="32"/>
          <w:szCs w:val="32"/>
          <w:highlight w:val="none"/>
          <w:lang w:val="en-US" w:eastAsia="zh-CN" w:bidi="ar"/>
        </w:rPr>
        <w:t>市场化</w:t>
      </w:r>
      <w:r>
        <w:rPr>
          <w:rFonts w:hint="default" w:ascii="Times New Roman" w:hAnsi="Times New Roman" w:cs="仿宋_GB2312"/>
          <w:i w:val="0"/>
          <w:iCs w:val="0"/>
          <w:caps w:val="0"/>
          <w:color w:val="auto"/>
          <w:spacing w:val="0"/>
          <w:kern w:val="0"/>
          <w:sz w:val="32"/>
          <w:szCs w:val="32"/>
          <w:highlight w:val="none"/>
          <w:lang w:val="en-US" w:eastAsia="zh-CN" w:bidi="ar"/>
        </w:rPr>
        <w:t>采购</w:t>
      </w:r>
      <w:r>
        <w:rPr>
          <w:rFonts w:hint="eastAsia" w:cs="仿宋_GB2312"/>
          <w:i w:val="0"/>
          <w:iCs w:val="0"/>
          <w:caps w:val="0"/>
          <w:color w:val="auto"/>
          <w:spacing w:val="0"/>
          <w:kern w:val="0"/>
          <w:sz w:val="32"/>
          <w:szCs w:val="32"/>
          <w:highlight w:val="none"/>
          <w:lang w:val="en-US" w:eastAsia="zh-CN" w:bidi="ar"/>
        </w:rPr>
        <w:t>平</w:t>
      </w:r>
      <w:r>
        <w:rPr>
          <w:rFonts w:hint="default" w:ascii="Times New Roman" w:hAnsi="Times New Roman" w:cs="仿宋_GB2312"/>
          <w:i w:val="0"/>
          <w:iCs w:val="0"/>
          <w:caps w:val="0"/>
          <w:color w:val="auto"/>
          <w:spacing w:val="0"/>
          <w:kern w:val="0"/>
          <w:sz w:val="32"/>
          <w:szCs w:val="32"/>
          <w:highlight w:val="none"/>
          <w:lang w:val="en-US" w:eastAsia="zh-CN" w:bidi="ar"/>
        </w:rPr>
        <w:t>均价结算</w:t>
      </w:r>
      <w:r>
        <w:rPr>
          <w:rFonts w:hint="eastAsia" w:cs="仿宋_GB2312"/>
          <w:i w:val="0"/>
          <w:iCs w:val="0"/>
          <w:caps w:val="0"/>
          <w:color w:val="auto"/>
          <w:spacing w:val="0"/>
          <w:kern w:val="0"/>
          <w:sz w:val="32"/>
          <w:szCs w:val="32"/>
          <w:highlight w:val="none"/>
          <w:lang w:val="en-US" w:eastAsia="zh-CN" w:bidi="ar"/>
        </w:rPr>
        <w:t>。同类型项目未参与代理购电市场化交易的，按照机组批复上网电价结算。无批复电价的，按燃煤发电基准价结算。</w:t>
      </w:r>
    </w:p>
    <w:p w14:paraId="36D5B062">
      <w:pPr>
        <w:numPr>
          <w:ilvl w:val="0"/>
          <w:numId w:val="1"/>
        </w:numPr>
        <w:adjustRightInd/>
        <w:spacing w:after="0"/>
        <w:ind w:firstLine="0" w:firstLineChars="0"/>
        <w:jc w:val="center"/>
        <w:textAlignment w:val="auto"/>
        <w:outlineLvl w:val="0"/>
        <w:rPr>
          <w:rFonts w:hint="eastAsia" w:ascii="Times New Roman" w:hAnsi="Times New Roman" w:eastAsia="黑体" w:cs="Times New Roman"/>
          <w:color w:val="auto"/>
          <w:szCs w:val="32"/>
        </w:rPr>
      </w:pPr>
      <w:r>
        <w:rPr>
          <w:rFonts w:hint="eastAsia" w:ascii="Times New Roman" w:hAnsi="Times New Roman" w:eastAsia="黑体" w:cs="Times New Roman"/>
          <w:color w:val="auto"/>
          <w:szCs w:val="32"/>
        </w:rPr>
        <w:t>差价协议签订</w:t>
      </w:r>
    </w:p>
    <w:p w14:paraId="34C7D8B3">
      <w:pPr>
        <w:widowControl w:val="0"/>
        <w:numPr>
          <w:ilvl w:val="0"/>
          <w:numId w:val="2"/>
        </w:numPr>
        <w:adjustRightInd/>
        <w:spacing w:beforeAutospacing="0" w:after="0"/>
        <w:ind w:left="-10" w:firstLine="640" w:firstLineChars="0"/>
        <w:jc w:val="left"/>
        <w:textAlignment w:val="auto"/>
        <w:rPr>
          <w:rFonts w:hint="eastAsia" w:ascii="Times New Roman" w:hAnsi="Times New Roman" w:cs="Times New Roman"/>
          <w:color w:val="auto"/>
          <w:szCs w:val="32"/>
          <w:highlight w:val="none"/>
        </w:rPr>
      </w:pPr>
      <w:r>
        <w:rPr>
          <w:rFonts w:hint="eastAsia" w:ascii="Times New Roman" w:hAnsi="Times New Roman" w:cs="Times New Roman"/>
          <w:color w:val="auto"/>
          <w:szCs w:val="32"/>
          <w:highlight w:val="none"/>
          <w:lang w:val="en-US" w:eastAsia="zh-CN"/>
        </w:rPr>
        <w:t>差价协议签订范围</w:t>
      </w:r>
    </w:p>
    <w:p w14:paraId="4DA9FDB3">
      <w:pPr>
        <w:spacing w:beforeAutospacing="0" w:after="0" w:afterAutospacing="0"/>
        <w:ind w:left="0" w:leftChars="0" w:firstLine="640" w:firstLineChars="200"/>
        <w:rPr>
          <w:rFonts w:hint="default"/>
          <w:color w:val="auto"/>
          <w:lang w:val="en-US" w:eastAsia="zh-CN"/>
        </w:rPr>
      </w:pPr>
      <w:r>
        <w:rPr>
          <w:rFonts w:hint="eastAsia"/>
          <w:color w:val="auto"/>
          <w:lang w:val="en-US" w:eastAsia="zh-CN"/>
        </w:rPr>
        <w:t>所有参与机制电量结算的新能源企业，均应与电网企业签订差价协议。在签订窗口期内未完成协议签订的，视为放弃机制电量（自然人户用光伏除外）。自然人户用光伏到期未完成协议签订的，默认执行机制电价结算相关规定，机制电价比例按照方案规定的执行。</w:t>
      </w:r>
    </w:p>
    <w:p w14:paraId="0F101C10">
      <w:pPr>
        <w:widowControl w:val="0"/>
        <w:numPr>
          <w:ilvl w:val="0"/>
          <w:numId w:val="2"/>
        </w:numPr>
        <w:adjustRightInd/>
        <w:spacing w:beforeAutospacing="0" w:after="0"/>
        <w:ind w:left="-10" w:firstLine="640" w:firstLineChars="0"/>
        <w:jc w:val="left"/>
        <w:textAlignment w:val="auto"/>
        <w:rPr>
          <w:rFonts w:hint="eastAsia" w:ascii="Times New Roman" w:hAnsi="Times New Roman" w:cs="Times New Roman"/>
          <w:color w:val="auto"/>
          <w:szCs w:val="32"/>
          <w:highlight w:val="none"/>
        </w:rPr>
      </w:pPr>
      <w:r>
        <w:rPr>
          <w:rFonts w:hint="eastAsia" w:ascii="Times New Roman" w:hAnsi="Times New Roman" w:cs="Times New Roman"/>
          <w:color w:val="auto"/>
          <w:szCs w:val="32"/>
          <w:highlight w:val="none"/>
          <w:lang w:val="en-US" w:eastAsia="zh-CN"/>
        </w:rPr>
        <w:t>差价协议签订时间</w:t>
      </w:r>
    </w:p>
    <w:p w14:paraId="66587D33">
      <w:pPr>
        <w:pStyle w:val="2"/>
        <w:spacing w:after="0" w:afterAutospacing="0"/>
        <w:ind w:left="0" w:leftChars="0" w:firstLine="640" w:firstLineChars="200"/>
        <w:rPr>
          <w:rFonts w:hint="eastAsia"/>
          <w:color w:val="auto"/>
          <w:highlight w:val="none"/>
          <w:lang w:val="en-US" w:eastAsia="zh-CN"/>
        </w:rPr>
      </w:pPr>
      <w:r>
        <w:rPr>
          <w:rFonts w:hint="eastAsia"/>
          <w:color w:val="auto"/>
          <w:highlight w:val="none"/>
          <w:lang w:val="en-US" w:eastAsia="zh-CN"/>
        </w:rPr>
        <w:t>电网企业根据工作安排，每年组织开展一次新能源项目差价协议签订工作。签订窗口期为组织开展竞价当月至当年12月10日。</w:t>
      </w:r>
    </w:p>
    <w:p w14:paraId="3304669E">
      <w:pPr>
        <w:pStyle w:val="2"/>
        <w:spacing w:after="0" w:afterAutospacing="0"/>
        <w:ind w:left="0" w:leftChars="0" w:firstLine="640" w:firstLineChars="200"/>
        <w:rPr>
          <w:rFonts w:hint="default" w:eastAsia="仿宋_GB2312"/>
          <w:color w:val="auto"/>
          <w:highlight w:val="none"/>
          <w:lang w:val="en-US" w:eastAsia="zh-CN"/>
        </w:rPr>
      </w:pPr>
      <w:r>
        <w:rPr>
          <w:rFonts w:hint="eastAsia"/>
          <w:color w:val="auto"/>
          <w:highlight w:val="none"/>
          <w:lang w:val="en-US" w:eastAsia="zh-CN"/>
        </w:rPr>
        <w:t>如新能源项目需变更差价协议，应在签订窗口期内告知电网企业并完成签订。</w:t>
      </w:r>
      <w:r>
        <w:rPr>
          <w:rFonts w:hint="eastAsia"/>
          <w:color w:val="auto"/>
          <w:lang w:val="en-US" w:eastAsia="zh-CN"/>
        </w:rPr>
        <w:t>在一个自然年内，机制电量的比例、规模不得更改。</w:t>
      </w:r>
    </w:p>
    <w:p w14:paraId="355F9580">
      <w:pPr>
        <w:widowControl w:val="0"/>
        <w:numPr>
          <w:ilvl w:val="0"/>
          <w:numId w:val="2"/>
        </w:numPr>
        <w:adjustRightInd/>
        <w:spacing w:beforeAutospacing="0" w:after="0"/>
        <w:ind w:left="-10" w:firstLine="640" w:firstLineChars="0"/>
        <w:jc w:val="left"/>
        <w:textAlignment w:val="auto"/>
        <w:rPr>
          <w:rFonts w:hint="eastAsia" w:ascii="Times New Roman" w:hAnsi="Times New Roman" w:cs="Times New Roman"/>
          <w:color w:val="auto"/>
          <w:szCs w:val="32"/>
          <w:highlight w:val="none"/>
        </w:rPr>
      </w:pPr>
      <w:r>
        <w:rPr>
          <w:rFonts w:hint="eastAsia" w:ascii="Times New Roman" w:hAnsi="Times New Roman" w:cs="Times New Roman"/>
          <w:color w:val="auto"/>
          <w:szCs w:val="32"/>
          <w:highlight w:val="none"/>
          <w:lang w:val="en-US" w:eastAsia="zh-CN"/>
        </w:rPr>
        <w:t>差价协议内容</w:t>
      </w:r>
    </w:p>
    <w:p w14:paraId="2D901A87">
      <w:pPr>
        <w:pStyle w:val="2"/>
        <w:spacing w:after="0" w:afterAutospacing="0"/>
        <w:ind w:left="0" w:leftChars="0" w:firstLine="640" w:firstLineChars="200"/>
        <w:rPr>
          <w:rFonts w:hint="eastAsia"/>
          <w:color w:val="FF0000"/>
          <w:lang w:val="en-US" w:eastAsia="zh-CN"/>
        </w:rPr>
      </w:pPr>
      <w:r>
        <w:rPr>
          <w:rFonts w:hint="eastAsia"/>
          <w:color w:val="auto"/>
          <w:lang w:val="en-US" w:eastAsia="zh-CN"/>
        </w:rPr>
        <w:t>协议内容至少应包含结算双方主体名称、统一社会信用代码（身份证号）、电源类型、并网时间、电源容量、次年及后续年份机制电量规模、机制电量比例、机制电价、结算要求、支付方式、争议处理、联系方式等事项。</w:t>
      </w:r>
    </w:p>
    <w:p w14:paraId="12866CE8">
      <w:pPr>
        <w:numPr>
          <w:ilvl w:val="0"/>
          <w:numId w:val="1"/>
        </w:numPr>
        <w:adjustRightInd/>
        <w:spacing w:after="0"/>
        <w:ind w:firstLine="0" w:firstLineChars="0"/>
        <w:jc w:val="center"/>
        <w:textAlignment w:val="auto"/>
        <w:outlineLvl w:val="0"/>
        <w:rPr>
          <w:rFonts w:hint="eastAsia" w:ascii="Times New Roman" w:hAnsi="Times New Roman" w:cs="Times New Roman"/>
          <w:color w:val="auto"/>
          <w:szCs w:val="32"/>
          <w:highlight w:val="none"/>
          <w:lang w:val="en-US" w:eastAsia="zh-CN"/>
        </w:rPr>
      </w:pPr>
      <w:r>
        <w:rPr>
          <w:rFonts w:hint="eastAsia" w:ascii="Times New Roman" w:hAnsi="Times New Roman" w:cs="Times New Roman"/>
          <w:color w:val="auto"/>
          <w:szCs w:val="32"/>
          <w:highlight w:val="none"/>
          <w:lang w:val="en-US" w:eastAsia="zh-CN"/>
        </w:rPr>
        <w:t>与代理购电、绿电绿证衔接</w:t>
      </w:r>
    </w:p>
    <w:p w14:paraId="239DC2A4">
      <w:pPr>
        <w:widowControl w:val="0"/>
        <w:numPr>
          <w:ilvl w:val="0"/>
          <w:numId w:val="2"/>
        </w:numPr>
        <w:adjustRightInd/>
        <w:spacing w:beforeAutospacing="0" w:after="0"/>
        <w:ind w:left="-10" w:firstLine="640" w:firstLineChars="0"/>
        <w:jc w:val="left"/>
        <w:textAlignment w:val="auto"/>
        <w:rPr>
          <w:rFonts w:hint="eastAsia" w:ascii="Times New Roman" w:hAnsi="Times New Roman" w:cs="Times New Roman"/>
          <w:color w:val="auto"/>
          <w:szCs w:val="32"/>
          <w:highlight w:val="none"/>
          <w:lang w:val="en-US" w:eastAsia="zh-CN"/>
        </w:rPr>
      </w:pPr>
      <w:r>
        <w:rPr>
          <w:rFonts w:hint="eastAsia" w:ascii="Times New Roman" w:hAnsi="Times New Roman" w:cs="Times New Roman"/>
          <w:color w:val="auto"/>
          <w:szCs w:val="32"/>
          <w:highlight w:val="none"/>
          <w:lang w:val="en-US" w:eastAsia="zh-CN"/>
        </w:rPr>
        <w:t>与代理购电衔接</w:t>
      </w:r>
    </w:p>
    <w:p w14:paraId="1A4C55F1">
      <w:pPr>
        <w:pStyle w:val="2"/>
        <w:spacing w:after="0" w:afterAutospacing="0"/>
        <w:ind w:firstLine="640" w:firstLineChars="200"/>
        <w:rPr>
          <w:rFonts w:hint="eastAsia" w:cs="Times New Roman"/>
          <w:color w:val="auto"/>
          <w:szCs w:val="32"/>
        </w:rPr>
      </w:pPr>
      <w:r>
        <w:rPr>
          <w:rFonts w:hint="eastAsia" w:cs="Times New Roman"/>
          <w:color w:val="auto"/>
          <w:szCs w:val="32"/>
        </w:rPr>
        <w:t>电网企业根据分类机制电量、机制电价、差价结算费用、工商业用户电量规模等数据信息，按月预测、滚动清算新能源机制电量差价结算费用，</w:t>
      </w:r>
      <w:r>
        <w:rPr>
          <w:rFonts w:hint="eastAsia" w:cs="Times New Roman"/>
          <w:color w:val="auto"/>
          <w:szCs w:val="32"/>
          <w:lang w:val="en-US" w:eastAsia="zh-CN"/>
        </w:rPr>
        <w:t>在</w:t>
      </w:r>
      <w:r>
        <w:rPr>
          <w:rFonts w:hint="eastAsia" w:cs="Times New Roman"/>
          <w:color w:val="auto"/>
          <w:szCs w:val="32"/>
        </w:rPr>
        <w:t>系统运行费</w:t>
      </w:r>
      <w:r>
        <w:rPr>
          <w:rFonts w:hint="eastAsia" w:cs="Times New Roman"/>
          <w:color w:val="auto"/>
          <w:szCs w:val="32"/>
          <w:lang w:val="en-US" w:eastAsia="zh-CN"/>
        </w:rPr>
        <w:t>中</w:t>
      </w:r>
      <w:r>
        <w:rPr>
          <w:rFonts w:hint="eastAsia" w:cs="Times New Roman"/>
          <w:color w:val="auto"/>
          <w:szCs w:val="32"/>
        </w:rPr>
        <w:t>单列“新能源可持续发展价格结算机制差价结算费用”</w:t>
      </w:r>
      <w:r>
        <w:rPr>
          <w:rFonts w:hint="eastAsia" w:cs="Times New Roman"/>
          <w:color w:val="auto"/>
          <w:szCs w:val="32"/>
          <w:lang w:val="en-US" w:eastAsia="zh-CN"/>
        </w:rPr>
        <w:t>进行传导</w:t>
      </w:r>
      <w:r>
        <w:rPr>
          <w:rFonts w:hint="eastAsia" w:cs="Times New Roman"/>
          <w:color w:val="auto"/>
          <w:szCs w:val="32"/>
        </w:rPr>
        <w:t>。</w:t>
      </w:r>
    </w:p>
    <w:p w14:paraId="180E7F17">
      <w:pPr>
        <w:widowControl w:val="0"/>
        <w:numPr>
          <w:ilvl w:val="0"/>
          <w:numId w:val="2"/>
        </w:numPr>
        <w:adjustRightInd/>
        <w:spacing w:beforeAutospacing="0" w:after="0"/>
        <w:ind w:left="-10" w:firstLine="640" w:firstLineChars="0"/>
        <w:jc w:val="left"/>
        <w:textAlignment w:val="auto"/>
        <w:rPr>
          <w:rFonts w:hint="eastAsia" w:ascii="Times New Roman" w:hAnsi="Times New Roman" w:cs="Times New Roman"/>
          <w:color w:val="auto"/>
          <w:szCs w:val="32"/>
          <w:highlight w:val="none"/>
          <w:lang w:val="en-US" w:eastAsia="zh-CN"/>
        </w:rPr>
      </w:pPr>
      <w:r>
        <w:rPr>
          <w:rFonts w:hint="eastAsia" w:ascii="Times New Roman" w:hAnsi="Times New Roman" w:cs="Times New Roman"/>
          <w:color w:val="auto"/>
          <w:szCs w:val="32"/>
          <w:highlight w:val="none"/>
          <w:lang w:val="en-US" w:eastAsia="zh-CN"/>
        </w:rPr>
        <w:t>与绿电绿证交易衔接</w:t>
      </w:r>
    </w:p>
    <w:p w14:paraId="197CFFDE">
      <w:pPr>
        <w:pStyle w:val="14"/>
        <w:spacing w:beforeAutospacing="0" w:after="0" w:afterAutospacing="0"/>
        <w:ind w:firstLine="640"/>
        <w:rPr>
          <w:color w:val="auto"/>
        </w:rPr>
      </w:pPr>
      <w:r>
        <w:rPr>
          <w:rFonts w:hint="eastAsia"/>
          <w:color w:val="auto"/>
        </w:rPr>
        <w:t>为规避新能源机制电量重复获取绿证收益，纳入机制的新能源上网电量不再参加绿电交易。电网企业按月推送新能源项目的机制电量至交易中心，用于开展市场化交易绿电交易的计算。交易中心按照当月绿电合同电量、扣除机制电量的剩余上网电量、电力用户用电量三者取小的原则确定绿证结算电量。</w:t>
      </w:r>
    </w:p>
    <w:p w14:paraId="0465131F">
      <w:pPr>
        <w:numPr>
          <w:ilvl w:val="0"/>
          <w:numId w:val="1"/>
        </w:numPr>
        <w:adjustRightInd/>
        <w:spacing w:after="0"/>
        <w:ind w:firstLine="0" w:firstLineChars="0"/>
        <w:jc w:val="center"/>
        <w:textAlignment w:val="auto"/>
        <w:outlineLvl w:val="0"/>
        <w:rPr>
          <w:rFonts w:ascii="Times New Roman" w:hAnsi="Times New Roman" w:eastAsia="黑体" w:cs="Times New Roman"/>
          <w:color w:val="auto"/>
          <w:szCs w:val="32"/>
        </w:rPr>
      </w:pPr>
      <w:r>
        <w:rPr>
          <w:rFonts w:hint="eastAsia" w:ascii="Times New Roman" w:hAnsi="Times New Roman" w:eastAsia="黑体" w:cs="Times New Roman"/>
          <w:color w:val="auto"/>
          <w:szCs w:val="32"/>
          <w:lang w:val="en-US" w:eastAsia="zh-CN"/>
        </w:rPr>
        <w:t>其他</w:t>
      </w:r>
    </w:p>
    <w:p w14:paraId="2F78F5B1">
      <w:pPr>
        <w:widowControl w:val="0"/>
        <w:numPr>
          <w:ilvl w:val="0"/>
          <w:numId w:val="2"/>
        </w:numPr>
        <w:adjustRightInd/>
        <w:spacing w:beforeAutospacing="0" w:after="0"/>
        <w:ind w:left="-10" w:firstLine="640" w:firstLineChars="0"/>
        <w:jc w:val="left"/>
        <w:textAlignment w:val="auto"/>
        <w:rPr>
          <w:color w:val="auto"/>
        </w:rPr>
      </w:pPr>
      <w:r>
        <w:rPr>
          <w:rFonts w:hint="eastAsia"/>
          <w:color w:val="auto"/>
          <w:lang w:val="en-US" w:eastAsia="zh-CN"/>
        </w:rPr>
        <w:t>新能源项目结算档案管理</w:t>
      </w:r>
    </w:p>
    <w:p w14:paraId="7E46196E">
      <w:pPr>
        <w:widowControl w:val="0"/>
        <w:numPr>
          <w:ilvl w:val="0"/>
          <w:numId w:val="0"/>
        </w:numPr>
        <w:tabs>
          <w:tab w:val="left" w:pos="0"/>
        </w:tabs>
        <w:adjustRightInd/>
        <w:spacing w:beforeAutospacing="0" w:after="0"/>
        <w:ind w:left="0" w:leftChars="0" w:firstLine="640" w:firstLineChars="200"/>
        <w:jc w:val="left"/>
        <w:textAlignment w:val="auto"/>
        <w:rPr>
          <w:rFonts w:hint="eastAsia"/>
          <w:color w:val="auto"/>
        </w:rPr>
      </w:pPr>
      <w:r>
        <w:rPr>
          <w:rFonts w:hint="eastAsia"/>
          <w:color w:val="auto"/>
          <w:lang w:val="en-US" w:eastAsia="zh-CN"/>
        </w:rPr>
        <w:t>新能源项目原则上应实现按项目装表计量及结算。</w:t>
      </w:r>
      <w:r>
        <w:rPr>
          <w:rFonts w:hint="eastAsia"/>
          <w:color w:val="auto"/>
        </w:rPr>
        <w:t>《贵州省深化新能源上网电价市场化改革的实施方案》</w:t>
      </w:r>
      <w:r>
        <w:rPr>
          <w:rFonts w:hint="eastAsia"/>
          <w:color w:val="auto"/>
          <w:lang w:val="en-US" w:eastAsia="zh-CN"/>
        </w:rPr>
        <w:t>执行后，</w:t>
      </w:r>
      <w:r>
        <w:rPr>
          <w:rFonts w:hint="eastAsia"/>
          <w:color w:val="auto"/>
        </w:rPr>
        <w:t>未实现按</w:t>
      </w:r>
      <w:r>
        <w:rPr>
          <w:rFonts w:hint="eastAsia"/>
          <w:color w:val="auto"/>
          <w:lang w:val="en-US" w:eastAsia="zh-CN"/>
        </w:rPr>
        <w:t>项目装表分时计量及结算</w:t>
      </w:r>
      <w:r>
        <w:rPr>
          <w:rFonts w:hint="eastAsia"/>
          <w:color w:val="auto"/>
        </w:rPr>
        <w:t>的发电项目，应于2026年底前改造逐步</w:t>
      </w:r>
      <w:r>
        <w:rPr>
          <w:rFonts w:hint="eastAsia"/>
          <w:color w:val="auto"/>
          <w:lang w:val="en-US" w:eastAsia="zh-CN"/>
        </w:rPr>
        <w:t>到位</w:t>
      </w:r>
      <w:r>
        <w:rPr>
          <w:rFonts w:hint="eastAsia"/>
          <w:color w:val="auto"/>
        </w:rPr>
        <w:t>。未实现按</w:t>
      </w:r>
      <w:r>
        <w:rPr>
          <w:rFonts w:hint="eastAsia"/>
          <w:color w:val="auto"/>
          <w:lang w:val="en-US" w:eastAsia="zh-CN"/>
        </w:rPr>
        <w:t>项目装表计量及结算</w:t>
      </w:r>
      <w:r>
        <w:rPr>
          <w:rFonts w:hint="eastAsia"/>
          <w:color w:val="auto"/>
        </w:rPr>
        <w:t>的发电项目</w:t>
      </w:r>
      <w:r>
        <w:rPr>
          <w:rFonts w:hint="eastAsia"/>
          <w:color w:val="auto"/>
          <w:lang w:val="en-US" w:eastAsia="zh-CN"/>
        </w:rPr>
        <w:t>，</w:t>
      </w:r>
      <w:r>
        <w:rPr>
          <w:rFonts w:hint="eastAsia"/>
          <w:color w:val="auto"/>
        </w:rPr>
        <w:t>电网企业按照备案</w:t>
      </w:r>
      <w:r>
        <w:rPr>
          <w:rFonts w:hint="eastAsia"/>
          <w:color w:val="auto"/>
          <w:lang w:eastAsia="zh-CN"/>
        </w:rPr>
        <w:t>（</w:t>
      </w:r>
      <w:r>
        <w:rPr>
          <w:rFonts w:hint="eastAsia"/>
          <w:color w:val="auto"/>
          <w:lang w:val="en-US" w:eastAsia="zh-CN"/>
        </w:rPr>
        <w:t>核准</w:t>
      </w:r>
      <w:r>
        <w:rPr>
          <w:rFonts w:hint="eastAsia"/>
          <w:color w:val="auto"/>
          <w:lang w:eastAsia="zh-CN"/>
        </w:rPr>
        <w:t>）</w:t>
      </w:r>
      <w:r>
        <w:rPr>
          <w:rFonts w:hint="eastAsia"/>
          <w:color w:val="auto"/>
        </w:rPr>
        <w:t>项目进行档案拆分</w:t>
      </w:r>
      <w:r>
        <w:rPr>
          <w:rFonts w:hint="eastAsia"/>
          <w:color w:val="auto"/>
          <w:lang w:eastAsia="zh-CN"/>
        </w:rPr>
        <w:t>，</w:t>
      </w:r>
      <w:r>
        <w:rPr>
          <w:rFonts w:hint="eastAsia"/>
          <w:color w:val="auto"/>
        </w:rPr>
        <w:t>拆分后各项目上网电量按照并网容量比例进行分摊。</w:t>
      </w:r>
    </w:p>
    <w:p w14:paraId="31154FCF">
      <w:pPr>
        <w:widowControl w:val="0"/>
        <w:numPr>
          <w:ilvl w:val="0"/>
          <w:numId w:val="2"/>
        </w:numPr>
        <w:adjustRightInd/>
        <w:spacing w:beforeAutospacing="0" w:after="0"/>
        <w:ind w:left="-10" w:firstLine="640" w:firstLineChars="0"/>
        <w:jc w:val="left"/>
        <w:textAlignment w:val="auto"/>
        <w:rPr>
          <w:color w:val="auto"/>
        </w:rPr>
      </w:pPr>
      <w:r>
        <w:rPr>
          <w:rFonts w:hint="eastAsia"/>
          <w:color w:val="auto"/>
          <w:lang w:val="en-US" w:eastAsia="zh-CN"/>
        </w:rPr>
        <w:t>本细则</w:t>
      </w:r>
      <w:r>
        <w:rPr>
          <w:rFonts w:hint="eastAsia" w:ascii="Times New Roman" w:hAnsi="Times New Roman" w:eastAsia="仿宋_GB2312" w:cs="仿宋_GB2312"/>
          <w:color w:val="auto"/>
          <w:kern w:val="0"/>
          <w:sz w:val="32"/>
          <w:szCs w:val="32"/>
          <w:highlight w:val="none"/>
          <w:lang w:val="en-US" w:eastAsia="zh-CN" w:bidi="ar"/>
        </w:rPr>
        <w:t>根据后续市场运行情况适时调整</w:t>
      </w:r>
      <w:r>
        <w:rPr>
          <w:rFonts w:hint="eastAsia"/>
          <w:color w:val="auto"/>
          <w:lang w:val="en-US" w:eastAsia="zh-CN"/>
        </w:rPr>
        <w:t>。</w:t>
      </w:r>
    </w:p>
    <w:p w14:paraId="23F46DF9">
      <w:pPr>
        <w:spacing w:beforeAutospacing="0"/>
        <w:ind w:left="0" w:leftChars="0" w:firstLine="640" w:firstLineChars="200"/>
        <w:rPr>
          <w:rFonts w:hint="eastAsia"/>
          <w:color w:val="auto"/>
          <w:lang w:val="en-US" w:eastAsia="zh-CN"/>
        </w:rPr>
        <w:sectPr>
          <w:footerReference r:id="rId5" w:type="default"/>
          <w:pgSz w:w="11906" w:h="16838"/>
          <w:pgMar w:top="1440" w:right="1633" w:bottom="1440" w:left="1633" w:header="851" w:footer="992" w:gutter="0"/>
          <w:pgNumType w:fmt="decimal"/>
          <w:cols w:space="425" w:num="1"/>
          <w:docGrid w:type="lines" w:linePitch="312" w:charSpace="0"/>
        </w:sectPr>
      </w:pPr>
      <w:r>
        <w:rPr>
          <w:rFonts w:hint="eastAsia"/>
          <w:color w:val="auto"/>
          <w:lang w:val="en-US" w:eastAsia="zh-CN"/>
        </w:rPr>
        <w:t>附件：新能源可持续发展机制差价结算协议</w:t>
      </w:r>
    </w:p>
    <w:p w14:paraId="5E5055CC">
      <w:pPr>
        <w:spacing w:beforeLines="0" w:afterLines="0"/>
        <w:jc w:val="left"/>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附件</w:t>
      </w:r>
    </w:p>
    <w:p w14:paraId="42FDD53A">
      <w:pPr>
        <w:spacing w:beforeLines="0" w:afterLines="0"/>
        <w:jc w:val="center"/>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rPr>
        <w:t>新能源可持续发展价格结算差价协议</w:t>
      </w:r>
    </w:p>
    <w:p w14:paraId="2D702778">
      <w:pPr>
        <w:spacing w:beforeLines="0" w:afterLines="0"/>
        <w:ind w:firstLine="0" w:firstLineChars="0"/>
        <w:rPr>
          <w:rFonts w:hint="eastAsia"/>
          <w:sz w:val="32"/>
          <w:szCs w:val="32"/>
        </w:rPr>
      </w:pPr>
      <w:r>
        <w:rPr>
          <w:rFonts w:hint="eastAsia"/>
          <w:sz w:val="32"/>
          <w:szCs w:val="32"/>
        </w:rPr>
        <w:t xml:space="preserve"> </w:t>
      </w:r>
    </w:p>
    <w:p w14:paraId="4F24D0EB">
      <w:pPr>
        <w:spacing w:beforeLines="0" w:afterLines="0"/>
        <w:ind w:firstLine="0" w:firstLineChars="0"/>
        <w:rPr>
          <w:rFonts w:hint="eastAsia"/>
          <w:sz w:val="32"/>
          <w:szCs w:val="32"/>
        </w:rPr>
      </w:pPr>
      <w:r>
        <w:rPr>
          <w:rFonts w:hint="eastAsia"/>
          <w:sz w:val="32"/>
          <w:szCs w:val="32"/>
        </w:rPr>
        <w:t xml:space="preserve"> </w:t>
      </w:r>
    </w:p>
    <w:p w14:paraId="2DBD5827">
      <w:pPr>
        <w:spacing w:beforeLines="0" w:afterLines="0"/>
        <w:ind w:firstLine="0" w:firstLineChars="0"/>
        <w:rPr>
          <w:rFonts w:hint="eastAsia"/>
          <w:sz w:val="32"/>
          <w:szCs w:val="32"/>
        </w:rPr>
      </w:pPr>
      <w:r>
        <w:rPr>
          <w:rFonts w:hint="eastAsia"/>
          <w:sz w:val="32"/>
          <w:szCs w:val="32"/>
        </w:rPr>
        <w:t xml:space="preserve"> </w:t>
      </w:r>
    </w:p>
    <w:p w14:paraId="0B8ED7C4">
      <w:pPr>
        <w:spacing w:beforeLines="0" w:afterLines="0"/>
        <w:ind w:firstLine="0" w:firstLineChars="0"/>
        <w:rPr>
          <w:rFonts w:hint="eastAsia"/>
          <w:sz w:val="32"/>
          <w:szCs w:val="32"/>
        </w:rPr>
      </w:pPr>
      <w:r>
        <w:rPr>
          <w:rFonts w:hint="eastAsia"/>
          <w:sz w:val="32"/>
          <w:szCs w:val="32"/>
        </w:rPr>
        <w:t xml:space="preserve"> </w:t>
      </w:r>
    </w:p>
    <w:p w14:paraId="260FF9E2">
      <w:pPr>
        <w:pStyle w:val="2"/>
        <w:rPr>
          <w:rFonts w:hint="eastAsia"/>
          <w:sz w:val="32"/>
          <w:szCs w:val="32"/>
        </w:rPr>
      </w:pPr>
    </w:p>
    <w:p w14:paraId="260D5C22">
      <w:pPr>
        <w:rPr>
          <w:rFonts w:hint="eastAsia"/>
          <w:sz w:val="32"/>
          <w:szCs w:val="32"/>
        </w:rPr>
      </w:pPr>
    </w:p>
    <w:p w14:paraId="04CA2E03">
      <w:pPr>
        <w:pStyle w:val="2"/>
        <w:rPr>
          <w:rFonts w:hint="eastAsia"/>
          <w:sz w:val="32"/>
          <w:szCs w:val="32"/>
        </w:rPr>
      </w:pPr>
    </w:p>
    <w:p w14:paraId="2D2DE782">
      <w:pPr>
        <w:rPr>
          <w:rFonts w:hint="eastAsia"/>
          <w:sz w:val="32"/>
          <w:szCs w:val="32"/>
        </w:rPr>
      </w:pPr>
    </w:p>
    <w:p w14:paraId="3D9C30E5">
      <w:pPr>
        <w:pStyle w:val="2"/>
        <w:rPr>
          <w:rFonts w:hint="eastAsia"/>
          <w:sz w:val="32"/>
          <w:szCs w:val="32"/>
        </w:rPr>
      </w:pPr>
    </w:p>
    <w:p w14:paraId="19E8230F">
      <w:pPr>
        <w:rPr>
          <w:rFonts w:hint="eastAsia"/>
          <w:sz w:val="32"/>
          <w:szCs w:val="32"/>
        </w:rPr>
      </w:pPr>
    </w:p>
    <w:p w14:paraId="5C00E5A0">
      <w:pPr>
        <w:pStyle w:val="2"/>
        <w:rPr>
          <w:rFonts w:hint="eastAsia"/>
          <w:sz w:val="32"/>
          <w:szCs w:val="32"/>
        </w:rPr>
      </w:pPr>
    </w:p>
    <w:p w14:paraId="6D8432AE">
      <w:pPr>
        <w:rPr>
          <w:rFonts w:hint="eastAsia"/>
          <w:sz w:val="32"/>
          <w:szCs w:val="32"/>
        </w:rPr>
      </w:pPr>
    </w:p>
    <w:p w14:paraId="5E86585A">
      <w:pPr>
        <w:pStyle w:val="2"/>
        <w:rPr>
          <w:rFonts w:hint="eastAsia"/>
          <w:sz w:val="32"/>
          <w:szCs w:val="32"/>
        </w:rPr>
      </w:pPr>
    </w:p>
    <w:p w14:paraId="36884030">
      <w:pPr>
        <w:spacing w:beforeLines="0" w:afterLines="0"/>
        <w:ind w:firstLine="3520" w:firstLineChars="1100"/>
        <w:jc w:val="left"/>
        <w:rPr>
          <w:rFonts w:hint="eastAsia"/>
          <w:sz w:val="32"/>
          <w:szCs w:val="32"/>
          <w:highlight w:val="none"/>
        </w:rPr>
      </w:pPr>
      <w:r>
        <w:rPr>
          <w:rFonts w:hint="eastAsia"/>
          <w:sz w:val="32"/>
          <w:szCs w:val="32"/>
          <w:highlight w:val="none"/>
        </w:rPr>
        <w:t xml:space="preserve"> （协议编号：___________________）</w:t>
      </w:r>
    </w:p>
    <w:p w14:paraId="7BF6A717">
      <w:pPr>
        <w:spacing w:beforeLines="0" w:afterLines="0"/>
        <w:ind w:firstLine="0" w:firstLineChars="0"/>
        <w:rPr>
          <w:rFonts w:hint="eastAsia"/>
          <w:sz w:val="32"/>
          <w:szCs w:val="32"/>
          <w:highlight w:val="none"/>
        </w:rPr>
      </w:pPr>
      <w:r>
        <w:rPr>
          <w:rFonts w:hint="eastAsia"/>
          <w:sz w:val="32"/>
          <w:szCs w:val="32"/>
          <w:highlight w:val="none"/>
        </w:rPr>
        <w:t xml:space="preserve"> </w:t>
      </w:r>
    </w:p>
    <w:p w14:paraId="7C708575">
      <w:pPr>
        <w:pStyle w:val="3"/>
        <w:spacing w:beforeLines="0" w:afterLines="0"/>
        <w:jc w:val="center"/>
        <w:rPr>
          <w:rFonts w:hint="eastAsia" w:ascii="方正小标宋_GBK" w:hAnsi="方正小标宋_GBK" w:eastAsia="方正小标宋_GBK" w:cs="方正小标宋_GBK"/>
          <w:b w:val="0"/>
          <w:bCs/>
          <w:sz w:val="44"/>
          <w:szCs w:val="44"/>
        </w:rPr>
      </w:pPr>
    </w:p>
    <w:p w14:paraId="0E09F962">
      <w:pPr>
        <w:spacing w:beforeLines="0" w:afterLines="0"/>
        <w:ind w:firstLine="566" w:firstLineChars="177"/>
        <w:rPr>
          <w:rFonts w:hint="eastAsia" w:ascii="方正仿宋_GBK" w:hAnsi="方正仿宋_GBK" w:eastAsia="方正仿宋_GBK" w:cs="方正仿宋_GBK"/>
          <w:sz w:val="32"/>
          <w:szCs w:val="32"/>
        </w:rPr>
      </w:pPr>
      <w:r>
        <w:rPr>
          <w:rFonts w:hint="eastAsia"/>
          <w:sz w:val="32"/>
          <w:szCs w:val="32"/>
        </w:rPr>
        <w:t xml:space="preserve"> </w:t>
      </w:r>
      <w:r>
        <w:rPr>
          <w:rFonts w:hint="eastAsia" w:ascii="方正仿宋_GBK" w:hAnsi="方正仿宋_GBK" w:eastAsia="方正仿宋_GBK" w:cs="方正仿宋_GBK"/>
          <w:sz w:val="32"/>
          <w:szCs w:val="32"/>
        </w:rPr>
        <w:t>本新能源可持续发展价格结算机制差价协议（以下简称差价协议）</w:t>
      </w:r>
      <w:r>
        <w:rPr>
          <w:rFonts w:hint="eastAsia" w:ascii="方正仿宋_GBK" w:hAnsi="方正仿宋_GBK" w:eastAsia="方正仿宋_GBK" w:cs="方正仿宋_GBK"/>
          <w:sz w:val="32"/>
          <w:szCs w:val="32"/>
          <w:lang w:val="en-US" w:eastAsia="zh-CN"/>
        </w:rPr>
        <w:t>由</w:t>
      </w:r>
      <w:r>
        <w:rPr>
          <w:rFonts w:hint="eastAsia" w:ascii="方正仿宋_GBK" w:hAnsi="方正仿宋_GBK" w:eastAsia="方正仿宋_GBK" w:cs="方正仿宋_GBK"/>
          <w:sz w:val="32"/>
          <w:szCs w:val="32"/>
        </w:rPr>
        <w:t>电网企业按照《国家发展改革委 国家能源局关于深化新能源上网电价市场化改革 促进新能源高质量发展的通知》（</w:t>
      </w:r>
      <w:r>
        <w:rPr>
          <w:rFonts w:hint="default" w:ascii="方正仿宋_GBK" w:hAnsi="方正仿宋_GBK" w:eastAsia="方正仿宋_GBK" w:cs="方正仿宋_GBK"/>
          <w:sz w:val="32"/>
          <w:szCs w:val="32"/>
          <w:lang w:val="en-US" w:eastAsia="zh-CN"/>
        </w:rPr>
        <w:t>发改价格〔2025〕136号</w:t>
      </w:r>
      <w:r>
        <w:rPr>
          <w:rFonts w:hint="eastAsia" w:ascii="方正仿宋_GBK" w:hAnsi="方正仿宋_GBK" w:eastAsia="方正仿宋_GBK" w:cs="方正仿宋_GBK"/>
          <w:sz w:val="32"/>
          <w:szCs w:val="32"/>
        </w:rPr>
        <w:t>）文件要求与新能源发电项目签订，处理与新能源机制电价有关的差价电费结算问题，由下列双方签署：</w:t>
      </w:r>
    </w:p>
    <w:p w14:paraId="4D27EB52">
      <w:pPr>
        <w:spacing w:beforeLines="0" w:afterLines="0"/>
        <w:ind w:firstLine="707" w:firstLineChars="221"/>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甲方（买方）：</w:t>
      </w:r>
      <w:r>
        <w:rPr>
          <w:rFonts w:hint="eastAsia" w:ascii="方正仿宋_GBK" w:hAnsi="方正仿宋_GBK" w:eastAsia="方正仿宋_GBK" w:cs="方正仿宋_GBK"/>
          <w:sz w:val="32"/>
          <w:szCs w:val="32"/>
          <w:u w:val="single"/>
          <w:lang w:val="en-US" w:eastAsia="zh-CN"/>
        </w:rPr>
        <w:t>贵州电网有限责任公司XX供电局</w:t>
      </w:r>
      <w:r>
        <w:rPr>
          <w:rFonts w:hint="eastAsia" w:ascii="方正仿宋_GBK" w:hAnsi="方正仿宋_GBK" w:eastAsia="方正仿宋_GBK" w:cs="方正仿宋_GBK"/>
          <w:sz w:val="32"/>
          <w:szCs w:val="32"/>
        </w:rPr>
        <w:t>，系一家具有法人资格，经</w:t>
      </w:r>
      <w:r>
        <w:rPr>
          <w:rFonts w:hint="eastAsia" w:ascii="方正仿宋_GBK" w:hAnsi="方正仿宋_GBK" w:eastAsia="方正仿宋_GBK" w:cs="方正仿宋_GBK"/>
          <w:sz w:val="32"/>
          <w:szCs w:val="32"/>
          <w:lang w:val="en-US" w:eastAsia="zh-CN"/>
        </w:rPr>
        <w:t>政府</w:t>
      </w:r>
      <w:r>
        <w:rPr>
          <w:rFonts w:hint="eastAsia" w:ascii="方正仿宋_GBK" w:hAnsi="方正仿宋_GBK" w:eastAsia="方正仿宋_GBK" w:cs="方正仿宋_GBK"/>
          <w:sz w:val="32"/>
          <w:szCs w:val="32"/>
        </w:rPr>
        <w:t>部门授权的电网经营企业，企业所在地为________，在________市场监督管理部门登记注册，统一社会信用代码：________。</w:t>
      </w:r>
    </w:p>
    <w:p w14:paraId="45BBFE63">
      <w:pPr>
        <w:spacing w:beforeLines="0" w:afterLines="0"/>
        <w:ind w:firstLine="707" w:firstLineChars="221"/>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住所：</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 xml:space="preserve"> 法定代表人（负责人）：</w:t>
      </w:r>
      <w:r>
        <w:rPr>
          <w:rFonts w:hint="eastAsia" w:ascii="方正仿宋_GBK" w:hAnsi="方正仿宋_GBK" w:eastAsia="方正仿宋_GBK" w:cs="方正仿宋_GBK"/>
          <w:sz w:val="32"/>
          <w:szCs w:val="32"/>
          <w:u w:val="single"/>
        </w:rPr>
        <w:t xml:space="preserve">         </w:t>
      </w:r>
    </w:p>
    <w:p w14:paraId="25E3A1F7">
      <w:pPr>
        <w:spacing w:beforeLines="0" w:afterLines="0"/>
        <w:ind w:firstLine="707" w:firstLineChars="221"/>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联系人：</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 xml:space="preserve"> 电话：</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 xml:space="preserve"> 传真：</w:t>
      </w:r>
      <w:r>
        <w:rPr>
          <w:rFonts w:hint="eastAsia" w:ascii="方正仿宋_GBK" w:hAnsi="方正仿宋_GBK" w:eastAsia="方正仿宋_GBK" w:cs="方正仿宋_GBK"/>
          <w:sz w:val="32"/>
          <w:szCs w:val="32"/>
          <w:u w:val="single"/>
        </w:rPr>
        <w:t xml:space="preserve">          </w:t>
      </w:r>
    </w:p>
    <w:p w14:paraId="25383F3C">
      <w:pPr>
        <w:spacing w:beforeLines="0" w:afterLines="0"/>
        <w:ind w:firstLine="707" w:firstLineChars="221"/>
        <w:rPr>
          <w:rFonts w:hint="eastAsia" w:ascii="方正仿宋_GBK" w:hAnsi="方正仿宋_GBK" w:eastAsia="方正仿宋_GBK" w:cs="方正仿宋_GBK"/>
          <w:sz w:val="32"/>
          <w:szCs w:val="32"/>
          <w:u w:val="single"/>
        </w:rPr>
      </w:pPr>
      <w:r>
        <w:rPr>
          <w:rFonts w:hint="eastAsia" w:ascii="方正仿宋_GBK" w:hAnsi="方正仿宋_GBK" w:eastAsia="方正仿宋_GBK" w:cs="方正仿宋_GBK"/>
          <w:sz w:val="32"/>
          <w:szCs w:val="32"/>
        </w:rPr>
        <w:t>邮编：</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 xml:space="preserve"> </w:t>
      </w:r>
    </w:p>
    <w:p w14:paraId="0FE89345">
      <w:pPr>
        <w:spacing w:beforeLines="0" w:afterLines="0"/>
        <w:ind w:firstLine="707" w:firstLineChars="221"/>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通讯地址：</w:t>
      </w:r>
      <w:r>
        <w:rPr>
          <w:rFonts w:hint="eastAsia" w:ascii="方正仿宋_GBK" w:hAnsi="方正仿宋_GBK" w:eastAsia="方正仿宋_GBK" w:cs="方正仿宋_GBK"/>
          <w:sz w:val="32"/>
          <w:szCs w:val="32"/>
          <w:u w:val="single"/>
        </w:rPr>
        <w:t xml:space="preserve">                                          </w:t>
      </w:r>
    </w:p>
    <w:p w14:paraId="3EB2ECEC">
      <w:pPr>
        <w:spacing w:beforeLines="0" w:afterLines="0"/>
        <w:ind w:firstLine="707" w:firstLineChars="221"/>
        <w:rPr>
          <w:rFonts w:hint="eastAsia" w:ascii="方正仿宋_GBK" w:hAnsi="方正仿宋_GBK" w:eastAsia="方正仿宋_GBK" w:cs="方正仿宋_GBK"/>
          <w:sz w:val="32"/>
          <w:szCs w:val="32"/>
        </w:rPr>
      </w:pPr>
    </w:p>
    <w:p w14:paraId="70D78B07">
      <w:pPr>
        <w:spacing w:beforeLines="0" w:afterLines="0"/>
        <w:ind w:firstLine="707" w:firstLineChars="221"/>
        <w:rPr>
          <w:rFonts w:hint="eastAsia" w:ascii="方正仿宋_GBK" w:hAnsi="方正仿宋_GBK" w:eastAsia="方正仿宋_GBK" w:cs="方正仿宋_GBK"/>
          <w:sz w:val="32"/>
          <w:szCs w:val="32"/>
        </w:rPr>
      </w:pPr>
    </w:p>
    <w:p w14:paraId="43C318F4">
      <w:pPr>
        <w:spacing w:beforeLines="0" w:afterLines="0"/>
        <w:ind w:firstLine="707" w:firstLineChars="221"/>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乙方（卖方）为</w:t>
      </w:r>
      <w:r>
        <w:rPr>
          <w:rFonts w:hint="eastAsia" w:ascii="方正仿宋_GBK" w:hAnsi="方正仿宋_GBK" w:eastAsia="方正仿宋_GBK" w:cs="方正仿宋_GBK"/>
          <w:sz w:val="32"/>
          <w:szCs w:val="32"/>
          <w:lang w:val="en-US" w:eastAsia="zh-CN"/>
        </w:rPr>
        <w:t>下列</w:t>
      </w:r>
      <w:r>
        <w:rPr>
          <w:rFonts w:hint="eastAsia" w:ascii="方正仿宋_GBK" w:hAnsi="方正仿宋_GBK" w:eastAsia="方正仿宋_GBK" w:cs="方正仿宋_GBK"/>
          <w:sz w:val="32"/>
          <w:szCs w:val="32"/>
        </w:rPr>
        <w:t>第</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种</w:t>
      </w:r>
      <w:r>
        <w:rPr>
          <w:rFonts w:hint="eastAsia" w:ascii="方正仿宋_GBK" w:hAnsi="方正仿宋_GBK" w:eastAsia="方正仿宋_GBK" w:cs="方正仿宋_GBK"/>
          <w:sz w:val="32"/>
          <w:szCs w:val="32"/>
          <w:lang w:val="en-US" w:eastAsia="zh-CN"/>
        </w:rPr>
        <w:t>主体</w:t>
      </w:r>
      <w:r>
        <w:rPr>
          <w:rFonts w:hint="eastAsia" w:ascii="方正仿宋_GBK" w:hAnsi="方正仿宋_GBK" w:eastAsia="方正仿宋_GBK" w:cs="方正仿宋_GBK"/>
          <w:sz w:val="32"/>
          <w:szCs w:val="32"/>
        </w:rPr>
        <w:t>：</w:t>
      </w:r>
    </w:p>
    <w:p w14:paraId="6A79CEA0">
      <w:pPr>
        <w:spacing w:beforeLines="0" w:afterLines="0"/>
        <w:ind w:left="0" w:leftChars="0"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u w:val="none"/>
          <w:lang w:val="en-US" w:eastAsia="zh-CN"/>
        </w:rPr>
        <w:t>一、</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，系一家</w:t>
      </w:r>
      <w:r>
        <w:rPr>
          <w:rFonts w:hint="eastAsia" w:ascii="方正仿宋_GBK" w:hAnsi="方正仿宋_GBK" w:eastAsia="方正仿宋_GBK" w:cs="方正仿宋_GBK"/>
          <w:sz w:val="32"/>
          <w:szCs w:val="32"/>
          <w:u w:val="wave"/>
        </w:rPr>
        <w:t>具有法人资格</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u w:val="wave"/>
        </w:rPr>
        <w:t>经法人单位授权</w:t>
      </w:r>
      <w:r>
        <w:rPr>
          <w:rFonts w:hint="eastAsia" w:ascii="方正仿宋_GBK" w:hAnsi="方正仿宋_GBK" w:eastAsia="方正仿宋_GBK" w:cs="方正仿宋_GBK"/>
          <w:sz w:val="32"/>
          <w:szCs w:val="32"/>
        </w:rPr>
        <w:t>的企业，所在地为________，于________年</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日实现并网发电的</w:t>
      </w:r>
      <w:r>
        <w:rPr>
          <w:rFonts w:hint="eastAsia" w:ascii="方正仿宋_GBK" w:hAnsi="方正仿宋_GBK" w:eastAsia="方正仿宋_GBK" w:cs="方正仿宋_GBK"/>
          <w:sz w:val="32"/>
          <w:szCs w:val="32"/>
        </w:rPr>
        <w:sym w:font="Wingdings" w:char="00A8"/>
      </w:r>
      <w:r>
        <w:rPr>
          <w:rFonts w:hint="eastAsia" w:ascii="方正仿宋_GBK" w:hAnsi="方正仿宋_GBK" w:eastAsia="方正仿宋_GBK" w:cs="方正仿宋_GBK"/>
          <w:sz w:val="32"/>
          <w:szCs w:val="32"/>
          <w:u w:val="wave"/>
        </w:rPr>
        <w:t>风</w:t>
      </w:r>
      <w:r>
        <w:rPr>
          <w:rFonts w:hint="eastAsia" w:ascii="方正仿宋_GBK" w:hAnsi="方正仿宋_GBK" w:eastAsia="方正仿宋_GBK" w:cs="方正仿宋_GBK"/>
          <w:sz w:val="32"/>
          <w:szCs w:val="32"/>
          <w:u w:val="wave"/>
          <w:lang w:val="en-US" w:eastAsia="zh-CN"/>
        </w:rPr>
        <w:t>力发电项目</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rPr>
        <w:sym w:font="Wingdings" w:char="00A8"/>
      </w:r>
      <w:r>
        <w:rPr>
          <w:rFonts w:hint="eastAsia" w:ascii="方正仿宋_GBK" w:hAnsi="方正仿宋_GBK" w:eastAsia="方正仿宋_GBK" w:cs="方正仿宋_GBK"/>
          <w:sz w:val="32"/>
          <w:szCs w:val="32"/>
          <w:u w:val="wave"/>
        </w:rPr>
        <w:t>光伏</w:t>
      </w:r>
      <w:r>
        <w:rPr>
          <w:rFonts w:hint="eastAsia" w:ascii="方正仿宋_GBK" w:hAnsi="方正仿宋_GBK" w:eastAsia="方正仿宋_GBK" w:cs="方正仿宋_GBK"/>
          <w:sz w:val="32"/>
          <w:szCs w:val="32"/>
          <w:u w:val="wave"/>
          <w:lang w:val="en-US" w:eastAsia="zh-CN"/>
        </w:rPr>
        <w:t>发电项目</w:t>
      </w:r>
      <w:r>
        <w:rPr>
          <w:rFonts w:hint="eastAsia" w:ascii="方正仿宋_GBK" w:hAnsi="方正仿宋_GBK" w:eastAsia="方正仿宋_GBK" w:cs="方正仿宋_GBK"/>
          <w:sz w:val="32"/>
          <w:szCs w:val="32"/>
        </w:rPr>
        <w:t>，统一社会信用代码：</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rPr>
        <w:t>。</w:t>
      </w:r>
    </w:p>
    <w:p w14:paraId="0F996827">
      <w:pPr>
        <w:spacing w:beforeLines="0" w:afterLines="0"/>
        <w:ind w:left="0" w:leftChars="0" w:firstLine="640" w:firstLineChars="200"/>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本项目名称</w:t>
      </w:r>
      <w:r>
        <w:rPr>
          <w:rFonts w:hint="eastAsia" w:ascii="方正仿宋_GBK" w:hAnsi="方正仿宋_GBK" w:eastAsia="方正仿宋_GBK" w:cs="方正仿宋_GBK"/>
          <w:sz w:val="32"/>
          <w:szCs w:val="32"/>
          <w:u w:val="single"/>
          <w:lang w:val="en-US" w:eastAsia="zh-CN"/>
        </w:rPr>
        <w:t xml:space="preserve">                                        </w:t>
      </w:r>
    </w:p>
    <w:p w14:paraId="72D70694">
      <w:pPr>
        <w:pStyle w:val="2"/>
        <w:ind w:firstLine="640" w:firstLineChars="200"/>
        <w:rPr>
          <w:rFonts w:hint="default"/>
          <w:lang w:val="en-US" w:eastAsia="zh-CN"/>
        </w:rPr>
      </w:pPr>
      <w:r>
        <w:rPr>
          <w:rFonts w:hint="eastAsia" w:ascii="方正仿宋_GBK" w:hAnsi="方正仿宋_GBK" w:eastAsia="方正仿宋_GBK" w:cs="方正仿宋_GBK"/>
          <w:sz w:val="32"/>
          <w:szCs w:val="32"/>
          <w:u w:val="none"/>
          <w:lang w:val="en-US" w:eastAsia="zh-CN"/>
        </w:rPr>
        <w:t>购电户号：</w:t>
      </w:r>
      <w:r>
        <w:rPr>
          <w:rFonts w:hint="eastAsia" w:ascii="方正仿宋_GBK" w:hAnsi="方正仿宋_GBK" w:eastAsia="方正仿宋_GBK" w:cs="方正仿宋_GBK"/>
          <w:sz w:val="32"/>
          <w:szCs w:val="32"/>
          <w:u w:val="single"/>
          <w:lang w:val="en-US" w:eastAsia="zh-CN"/>
        </w:rPr>
        <w:t xml:space="preserve">                                        </w:t>
      </w:r>
    </w:p>
    <w:p w14:paraId="35348E88">
      <w:pPr>
        <w:spacing w:beforeLines="0" w:afterLines="0"/>
        <w:ind w:left="0" w:leftChars="0"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装机容量</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兆瓦，</w:t>
      </w:r>
      <w:r>
        <w:rPr>
          <w:rFonts w:hint="eastAsia" w:ascii="方正仿宋_GBK" w:hAnsi="方正仿宋_GBK" w:eastAsia="方正仿宋_GBK" w:cs="方正仿宋_GBK"/>
          <w:sz w:val="32"/>
          <w:szCs w:val="32"/>
        </w:rPr>
        <w:t>法定代表人（负责人）：</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u w:val="single"/>
          <w:lang w:val="en-US" w:eastAsia="zh-CN"/>
        </w:rPr>
        <w:t xml:space="preserve"> </w:t>
      </w:r>
    </w:p>
    <w:p w14:paraId="5F2BF19D">
      <w:pPr>
        <w:spacing w:beforeLines="0" w:afterLines="0"/>
        <w:ind w:left="0" w:leftChars="0"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通讯地址：</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u w:val="single"/>
        </w:rPr>
        <w:t xml:space="preserve"> </w:t>
      </w:r>
    </w:p>
    <w:p w14:paraId="649E1C2E">
      <w:pPr>
        <w:spacing w:beforeLines="0" w:afterLines="0"/>
        <w:ind w:left="0" w:leftChars="0"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联系人：</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rPr>
        <w:t xml:space="preserve"> 电话：</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rPr>
        <w:t xml:space="preserve"> </w:t>
      </w:r>
    </w:p>
    <w:p w14:paraId="58640EE8">
      <w:pPr>
        <w:numPr>
          <w:ilvl w:val="0"/>
          <w:numId w:val="0"/>
        </w:numPr>
        <w:spacing w:beforeLines="0" w:afterLines="0"/>
        <w:ind w:firstLine="640" w:firstLineChars="200"/>
        <w:rPr>
          <w:rFonts w:hint="eastAsia" w:ascii="方正仿宋_GBK" w:hAnsi="方正仿宋_GBK" w:eastAsia="方正仿宋_GBK" w:cs="方正仿宋_GBK"/>
          <w:color w:val="0D0D0D" w:themeColor="text1" w:themeTint="F2"/>
          <w:sz w:val="32"/>
          <w:szCs w:val="32"/>
          <w:lang w:eastAsia="zh-CN"/>
          <w14:textFill>
            <w14:solidFill>
              <w14:schemeClr w14:val="tx1">
                <w14:lumMod w14:val="95000"/>
                <w14:lumOff w14:val="5000"/>
              </w14:schemeClr>
            </w14:solidFill>
          </w14:textFill>
        </w:rPr>
      </w:pPr>
    </w:p>
    <w:p w14:paraId="2ADFDEAB">
      <w:pPr>
        <w:numPr>
          <w:ilvl w:val="0"/>
          <w:numId w:val="0"/>
        </w:numPr>
        <w:spacing w:beforeLines="0" w:afterLines="0"/>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D0D0D" w:themeColor="text1" w:themeTint="F2"/>
          <w:sz w:val="32"/>
          <w:szCs w:val="32"/>
          <w:lang w:eastAsia="zh-CN"/>
          <w14:textFill>
            <w14:solidFill>
              <w14:schemeClr w14:val="tx1">
                <w14:lumMod w14:val="95000"/>
                <w14:lumOff w14:val="5000"/>
              </w14:schemeClr>
            </w14:solidFill>
          </w14:textFill>
        </w:rPr>
        <w:t>二、</w:t>
      </w:r>
      <w:r>
        <w:rPr>
          <w:rFonts w:hint="eastAsia" w:ascii="方正仿宋_GBK" w:hAnsi="方正仿宋_GBK" w:eastAsia="方正仿宋_GBK" w:cs="方正仿宋_GBK"/>
          <w:sz w:val="32"/>
          <w:szCs w:val="32"/>
        </w:rPr>
        <w:t>自然人</w:t>
      </w:r>
      <w:r>
        <w:rPr>
          <w:rFonts w:hint="eastAsia" w:ascii="方正仿宋_GBK" w:hAnsi="方正仿宋_GBK" w:eastAsia="方正仿宋_GBK" w:cs="方正仿宋_GBK"/>
          <w:sz w:val="32"/>
          <w:szCs w:val="32"/>
          <w:lang w:val="en-US" w:eastAsia="zh-CN"/>
        </w:rPr>
        <w:t>户用</w:t>
      </w:r>
      <w:r>
        <w:rPr>
          <w:rFonts w:hint="eastAsia" w:ascii="方正仿宋_GBK" w:hAnsi="方正仿宋_GBK" w:eastAsia="方正仿宋_GBK" w:cs="方正仿宋_GBK"/>
          <w:sz w:val="32"/>
          <w:szCs w:val="32"/>
        </w:rPr>
        <w:t>分布式</w:t>
      </w:r>
      <w:r>
        <w:rPr>
          <w:rFonts w:hint="eastAsia" w:ascii="方正仿宋_GBK" w:hAnsi="方正仿宋_GBK" w:eastAsia="方正仿宋_GBK" w:cs="方正仿宋_GBK"/>
          <w:sz w:val="32"/>
          <w:szCs w:val="32"/>
          <w:lang w:val="en-US" w:eastAsia="zh-CN"/>
        </w:rPr>
        <w:t>光伏</w:t>
      </w:r>
    </w:p>
    <w:p w14:paraId="02470945">
      <w:pPr>
        <w:spacing w:beforeLines="0" w:afterLines="0"/>
        <w:ind w:left="0" w:leftChars="0" w:firstLine="640" w:firstLineChars="200"/>
        <w:rPr>
          <w:rFonts w:hint="eastAsia" w:ascii="方正仿宋_GBK" w:hAnsi="方正仿宋_GBK" w:eastAsia="方正仿宋_GBK" w:cs="方正仿宋_GBK"/>
          <w:sz w:val="32"/>
          <w:szCs w:val="32"/>
          <w:u w:val="single"/>
        </w:rPr>
      </w:pPr>
      <w:r>
        <w:rPr>
          <w:rFonts w:hint="eastAsia" w:ascii="方正仿宋_GBK" w:hAnsi="方正仿宋_GBK" w:eastAsia="方正仿宋_GBK" w:cs="方正仿宋_GBK"/>
          <w:sz w:val="32"/>
          <w:szCs w:val="32"/>
        </w:rPr>
        <w:t>姓名：</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rPr>
        <w:t>身份证号：</w:t>
      </w:r>
      <w:r>
        <w:rPr>
          <w:rFonts w:hint="eastAsia" w:ascii="方正仿宋_GBK" w:hAnsi="方正仿宋_GBK" w:eastAsia="方正仿宋_GBK" w:cs="方正仿宋_GBK"/>
          <w:sz w:val="32"/>
          <w:szCs w:val="32"/>
          <w:u w:val="single"/>
        </w:rPr>
        <w:t xml:space="preserve">                          </w:t>
      </w:r>
    </w:p>
    <w:p w14:paraId="52899666">
      <w:pPr>
        <w:pStyle w:val="2"/>
        <w:ind w:firstLine="640" w:firstLineChars="200"/>
        <w:rPr>
          <w:rFonts w:hint="default"/>
          <w:lang w:val="en-US" w:eastAsia="zh-CN"/>
        </w:rPr>
      </w:pPr>
      <w:r>
        <w:rPr>
          <w:rFonts w:hint="eastAsia" w:ascii="方正仿宋_GBK" w:hAnsi="方正仿宋_GBK" w:eastAsia="方正仿宋_GBK" w:cs="方正仿宋_GBK"/>
          <w:sz w:val="32"/>
          <w:szCs w:val="32"/>
          <w:u w:val="none"/>
          <w:lang w:val="en-US" w:eastAsia="zh-CN"/>
        </w:rPr>
        <w:t>购电户号：</w:t>
      </w:r>
      <w:r>
        <w:rPr>
          <w:rFonts w:hint="eastAsia" w:ascii="方正仿宋_GBK" w:hAnsi="方正仿宋_GBK" w:eastAsia="方正仿宋_GBK" w:cs="方正仿宋_GBK"/>
          <w:sz w:val="32"/>
          <w:szCs w:val="32"/>
          <w:u w:val="single"/>
          <w:lang w:val="en-US" w:eastAsia="zh-CN"/>
        </w:rPr>
        <w:t xml:space="preserve">                                        </w:t>
      </w:r>
    </w:p>
    <w:p w14:paraId="50605AB6">
      <w:pPr>
        <w:spacing w:beforeLines="0" w:afterLines="0"/>
        <w:ind w:left="0" w:leftChars="0"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通讯地址：</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rPr>
        <w:t xml:space="preserve">  </w:t>
      </w:r>
    </w:p>
    <w:p w14:paraId="7B013C41">
      <w:pPr>
        <w:spacing w:beforeLines="0" w:afterLines="0"/>
        <w:ind w:left="0" w:leftChars="0"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装机容量：</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兆瓦</w:t>
      </w:r>
    </w:p>
    <w:p w14:paraId="020D64FE">
      <w:pPr>
        <w:spacing w:beforeLines="0" w:afterLines="0"/>
        <w:ind w:left="0" w:leftChars="0"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开户名称：</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 xml:space="preserve"> 开户银行：</w:t>
      </w:r>
      <w:r>
        <w:rPr>
          <w:rFonts w:hint="eastAsia" w:ascii="方正仿宋_GBK" w:hAnsi="方正仿宋_GBK" w:eastAsia="方正仿宋_GBK" w:cs="方正仿宋_GBK"/>
          <w:sz w:val="32"/>
          <w:szCs w:val="32"/>
          <w:u w:val="single"/>
        </w:rPr>
        <w:t xml:space="preserve">                    </w:t>
      </w:r>
    </w:p>
    <w:p w14:paraId="56F8ACCF">
      <w:pPr>
        <w:spacing w:beforeLines="0" w:afterLines="0"/>
        <w:ind w:left="0" w:leftChars="0"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账号：</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u w:val="single"/>
        </w:rPr>
        <w:t xml:space="preserve"> </w:t>
      </w:r>
    </w:p>
    <w:p w14:paraId="75ED7B59">
      <w:pPr>
        <w:spacing w:beforeLines="0" w:afterLines="0"/>
        <w:ind w:left="0" w:leftChars="0"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联系人：</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rPr>
        <w:t xml:space="preserve"> 电话：</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u w:val="single"/>
          <w:lang w:val="en-US" w:eastAsia="zh-CN"/>
        </w:rPr>
        <w:t xml:space="preserve">  </w:t>
      </w:r>
    </w:p>
    <w:p w14:paraId="79F90D45">
      <w:pPr>
        <w:spacing w:beforeLines="0" w:afterLines="0"/>
        <w:ind w:firstLine="707" w:firstLineChars="221"/>
        <w:rPr>
          <w:rFonts w:hint="eastAsia" w:ascii="方正仿宋_GBK" w:hAnsi="方正仿宋_GBK" w:eastAsia="方正仿宋_GBK" w:cs="方正仿宋_GBK"/>
          <w:sz w:val="32"/>
          <w:szCs w:val="32"/>
        </w:rPr>
        <w:sectPr>
          <w:footerReference r:id="rId6" w:type="default"/>
          <w:pgSz w:w="11906" w:h="16838"/>
          <w:pgMar w:top="1984" w:right="1616" w:bottom="1814" w:left="1616" w:header="851" w:footer="992" w:gutter="0"/>
          <w:lnNumType w:countBy="0" w:distance="360"/>
          <w:pgNumType w:fmt="decimal" w:start="1"/>
          <w:cols w:space="720" w:num="1"/>
          <w:docGrid w:type="lines" w:linePitch="312" w:charSpace="0"/>
        </w:sectPr>
      </w:pPr>
    </w:p>
    <w:p w14:paraId="5A40D816">
      <w:pPr>
        <w:spacing w:beforeLines="0" w:afterLines="0"/>
        <w:ind w:firstLine="707" w:firstLineChars="221"/>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第1章 协议解释</w:t>
      </w:r>
    </w:p>
    <w:p w14:paraId="49AFEC6B">
      <w:pPr>
        <w:numPr>
          <w:ilvl w:val="1"/>
          <w:numId w:val="3"/>
        </w:numPr>
        <w:spacing w:beforeLines="0" w:afterLines="0"/>
        <w:ind w:left="0" w:leftChars="0"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本协议中的“包括”一词指：包括但不限于。</w:t>
      </w:r>
    </w:p>
    <w:p w14:paraId="20B76BF4">
      <w:pPr>
        <w:numPr>
          <w:ilvl w:val="1"/>
          <w:numId w:val="3"/>
        </w:numPr>
        <w:spacing w:beforeLines="0" w:afterLines="0"/>
        <w:ind w:left="0" w:leftChars="0"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本协议中的数字、期限等</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若无特殊说明，</w:t>
      </w:r>
      <w:r>
        <w:rPr>
          <w:rFonts w:hint="eastAsia" w:ascii="方正仿宋_GBK" w:hAnsi="方正仿宋_GBK" w:eastAsia="方正仿宋_GBK" w:cs="方正仿宋_GBK"/>
          <w:sz w:val="32"/>
          <w:szCs w:val="32"/>
        </w:rPr>
        <w:t>均包含本数。</w:t>
      </w:r>
    </w:p>
    <w:p w14:paraId="2AB2C4C7">
      <w:pPr>
        <w:spacing w:beforeLines="0" w:afterLines="0"/>
        <w:ind w:firstLine="707" w:firstLineChars="221"/>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 xml:space="preserve">第2章 </w:t>
      </w:r>
      <w:r>
        <w:rPr>
          <w:rFonts w:hint="eastAsia" w:ascii="方正仿宋_GBK" w:hAnsi="方正仿宋_GBK" w:eastAsia="方正仿宋_GBK" w:cs="方正仿宋_GBK"/>
          <w:sz w:val="32"/>
          <w:szCs w:val="32"/>
          <w:lang w:val="en-US" w:eastAsia="zh-CN"/>
        </w:rPr>
        <w:t>机制</w:t>
      </w:r>
      <w:r>
        <w:rPr>
          <w:rFonts w:hint="eastAsia" w:ascii="方正仿宋_GBK" w:hAnsi="方正仿宋_GBK" w:eastAsia="方正仿宋_GBK" w:cs="方正仿宋_GBK"/>
          <w:sz w:val="32"/>
          <w:szCs w:val="32"/>
        </w:rPr>
        <w:t>电量</w:t>
      </w:r>
      <w:r>
        <w:rPr>
          <w:rFonts w:hint="eastAsia" w:ascii="方正仿宋_GBK" w:hAnsi="方正仿宋_GBK" w:eastAsia="方正仿宋_GBK" w:cs="方正仿宋_GBK"/>
          <w:sz w:val="32"/>
          <w:szCs w:val="32"/>
          <w:lang w:val="en-US" w:eastAsia="zh-CN"/>
        </w:rPr>
        <w:t>比例及规模</w:t>
      </w:r>
    </w:p>
    <w:p w14:paraId="7A562E5A">
      <w:pPr>
        <w:numPr>
          <w:ilvl w:val="1"/>
          <w:numId w:val="4"/>
        </w:numPr>
        <w:spacing w:beforeLines="0" w:afterLines="0"/>
        <w:ind w:left="0" w:leftChars="0"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本协议根据新能源发电项目投产情况，机制比例按照下列第________种方式执行：</w:t>
      </w:r>
    </w:p>
    <w:p w14:paraId="2756122A">
      <w:pPr>
        <w:numPr>
          <w:ilvl w:val="1"/>
          <w:numId w:val="0"/>
        </w:numPr>
        <w:spacing w:beforeLines="0" w:afterLines="0"/>
        <w:ind w:left="0" w:leftChars="0"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w:t>
      </w:r>
      <w:r>
        <w:rPr>
          <w:rFonts w:hint="eastAsia" w:ascii="方正仿宋_GBK" w:hAnsi="方正仿宋_GBK" w:eastAsia="方正仿宋_GBK" w:cs="方正仿宋_GBK"/>
          <w:sz w:val="32"/>
          <w:szCs w:val="32"/>
          <w:lang w:val="en-US" w:eastAsia="zh-CN"/>
        </w:rPr>
        <w:t>本项目于</w:t>
      </w:r>
      <w:r>
        <w:rPr>
          <w:rFonts w:hint="eastAsia" w:ascii="方正仿宋_GBK" w:hAnsi="方正仿宋_GBK" w:eastAsia="方正仿宋_GBK" w:cs="方正仿宋_GBK"/>
          <w:sz w:val="32"/>
          <w:szCs w:val="32"/>
        </w:rPr>
        <w:t>202</w:t>
      </w: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val="en-US" w:eastAsia="zh-CN"/>
        </w:rPr>
        <w:t>6</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日（不含）前已投产</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属存量项目，</w:t>
      </w:r>
      <w:r>
        <w:rPr>
          <w:rFonts w:hint="eastAsia" w:ascii="方正仿宋_GBK" w:hAnsi="方正仿宋_GBK" w:eastAsia="方正仿宋_GBK" w:cs="方正仿宋_GBK"/>
          <w:sz w:val="32"/>
          <w:szCs w:val="32"/>
        </w:rPr>
        <w:t>当期</w:t>
      </w:r>
      <w:r>
        <w:rPr>
          <w:rFonts w:hint="eastAsia" w:ascii="方正仿宋_GBK" w:hAnsi="方正仿宋_GBK" w:eastAsia="方正仿宋_GBK" w:cs="方正仿宋_GBK"/>
          <w:sz w:val="32"/>
          <w:szCs w:val="32"/>
          <w:lang w:val="en-US" w:eastAsia="zh-CN"/>
        </w:rPr>
        <w:t>机制</w:t>
      </w:r>
      <w:r>
        <w:rPr>
          <w:rFonts w:hint="eastAsia" w:ascii="方正仿宋_GBK" w:hAnsi="方正仿宋_GBK" w:eastAsia="方正仿宋_GBK" w:cs="方正仿宋_GBK"/>
          <w:sz w:val="32"/>
          <w:szCs w:val="32"/>
        </w:rPr>
        <w:t>电量比例为</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u w:val="single"/>
          <w:lang w:val="en-US" w:eastAsia="zh-CN"/>
        </w:rPr>
        <w:t>%</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u w:val="none"/>
          <w:lang w:eastAsia="zh-CN"/>
        </w:rPr>
        <w:t>（</w:t>
      </w:r>
      <w:r>
        <w:rPr>
          <w:rFonts w:hint="eastAsia" w:ascii="方正仿宋_GBK" w:hAnsi="方正仿宋_GBK" w:eastAsia="方正仿宋_GBK" w:cs="方正仿宋_GBK"/>
          <w:sz w:val="32"/>
          <w:szCs w:val="32"/>
        </w:rPr>
        <w:t>不得高于当地省级价格主管部门确定的机制电量比例上限</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且不得高于上一年比例</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u w:val="none"/>
          <w:lang w:eastAsia="zh-CN"/>
        </w:rPr>
        <w:t>）。</w:t>
      </w:r>
      <w:r>
        <w:rPr>
          <w:rFonts w:hint="eastAsia" w:ascii="方正仿宋_GBK" w:hAnsi="方正仿宋_GBK" w:eastAsia="方正仿宋_GBK" w:cs="方正仿宋_GBK"/>
          <w:sz w:val="32"/>
          <w:szCs w:val="32"/>
        </w:rPr>
        <w:t>未自主确定</w:t>
      </w:r>
      <w:r>
        <w:rPr>
          <w:rFonts w:hint="eastAsia" w:ascii="方正仿宋_GBK" w:hAnsi="方正仿宋_GBK" w:eastAsia="方正仿宋_GBK" w:cs="方正仿宋_GBK"/>
          <w:sz w:val="32"/>
          <w:szCs w:val="32"/>
          <w:lang w:val="en-US" w:eastAsia="zh-CN"/>
        </w:rPr>
        <w:t>机制</w:t>
      </w:r>
      <w:r>
        <w:rPr>
          <w:rFonts w:hint="eastAsia" w:ascii="方正仿宋_GBK" w:hAnsi="方正仿宋_GBK" w:eastAsia="方正仿宋_GBK" w:cs="方正仿宋_GBK"/>
          <w:sz w:val="32"/>
          <w:szCs w:val="32"/>
        </w:rPr>
        <w:t>电量比例的按当地价格主管部门规定的比例</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执行。</w:t>
      </w:r>
    </w:p>
    <w:p w14:paraId="5AF86DC1">
      <w:pPr>
        <w:numPr>
          <w:ilvl w:val="0"/>
          <w:numId w:val="5"/>
        </w:numPr>
        <w:spacing w:beforeLines="0" w:afterLines="0"/>
        <w:ind w:firstLine="707" w:firstLineChars="221"/>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本项目于（计划于）</w:t>
      </w:r>
      <w:r>
        <w:rPr>
          <w:rFonts w:hint="eastAsia" w:ascii="方正仿宋_GBK" w:hAnsi="方正仿宋_GBK" w:eastAsia="方正仿宋_GBK" w:cs="方正仿宋_GBK"/>
          <w:sz w:val="32"/>
          <w:szCs w:val="32"/>
        </w:rPr>
        <w:t>202</w:t>
      </w: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val="en-US" w:eastAsia="zh-CN"/>
        </w:rPr>
        <w:t>6</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日后投产</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属增量项目，</w:t>
      </w:r>
      <w:r>
        <w:rPr>
          <w:rFonts w:hint="eastAsia" w:ascii="方正仿宋_GBK" w:hAnsi="方正仿宋_GBK" w:eastAsia="方正仿宋_GBK" w:cs="方正仿宋_GBK"/>
          <w:sz w:val="32"/>
          <w:szCs w:val="32"/>
        </w:rPr>
        <w:t>机制电量</w:t>
      </w:r>
      <w:r>
        <w:rPr>
          <w:rFonts w:hint="eastAsia" w:ascii="方正仿宋_GBK" w:hAnsi="方正仿宋_GBK" w:eastAsia="方正仿宋_GBK" w:cs="方正仿宋_GBK"/>
          <w:sz w:val="32"/>
          <w:szCs w:val="32"/>
          <w:lang w:val="en-US" w:eastAsia="zh-CN"/>
        </w:rPr>
        <w:t>规模</w:t>
      </w:r>
      <w:r>
        <w:rPr>
          <w:rFonts w:hint="eastAsia" w:ascii="方正仿宋_GBK" w:hAnsi="方正仿宋_GBK" w:eastAsia="方正仿宋_GBK" w:cs="方正仿宋_GBK"/>
          <w:sz w:val="32"/>
          <w:szCs w:val="32"/>
        </w:rPr>
        <w:t>通过竞价确定，本年</w:t>
      </w:r>
      <w:r>
        <w:rPr>
          <w:rFonts w:hint="eastAsia" w:ascii="方正仿宋_GBK" w:hAnsi="方正仿宋_GBK" w:eastAsia="方正仿宋_GBK" w:cs="方正仿宋_GBK"/>
          <w:sz w:val="32"/>
          <w:szCs w:val="32"/>
          <w:lang w:val="en-US" w:eastAsia="zh-CN"/>
        </w:rPr>
        <w:t>及后续年份单个自然年的年度机制</w:t>
      </w:r>
      <w:r>
        <w:rPr>
          <w:rFonts w:hint="eastAsia" w:ascii="方正仿宋_GBK" w:hAnsi="方正仿宋_GBK" w:eastAsia="方正仿宋_GBK" w:cs="方正仿宋_GBK"/>
          <w:sz w:val="32"/>
          <w:szCs w:val="32"/>
        </w:rPr>
        <w:t>电量规模为</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兆瓦时，该规模对应的机制电量比例为</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w:t>
      </w:r>
    </w:p>
    <w:p w14:paraId="0833B944">
      <w:pPr>
        <w:numPr>
          <w:ilvl w:val="1"/>
          <w:numId w:val="4"/>
        </w:numPr>
        <w:spacing w:beforeLines="0" w:afterLines="0"/>
        <w:ind w:left="0" w:leftChars="0"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已纳入本协议的机制</w:t>
      </w:r>
      <w:r>
        <w:rPr>
          <w:rFonts w:hint="eastAsia" w:ascii="方正仿宋_GBK" w:hAnsi="方正仿宋_GBK" w:eastAsia="方正仿宋_GBK" w:cs="方正仿宋_GBK"/>
          <w:sz w:val="32"/>
          <w:szCs w:val="32"/>
        </w:rPr>
        <w:t>电量不再开展其他形式的差价结算。</w:t>
      </w:r>
    </w:p>
    <w:p w14:paraId="478BC68F">
      <w:pPr>
        <w:numPr>
          <w:ilvl w:val="1"/>
          <w:numId w:val="4"/>
        </w:numPr>
        <w:spacing w:beforeLines="0" w:afterLines="0"/>
        <w:ind w:left="0" w:leftChars="0"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存量项目投产满20年后不再执行机制电价</w:t>
      </w:r>
      <w:r>
        <w:rPr>
          <w:rFonts w:hint="eastAsia" w:ascii="方正仿宋_GBK" w:hAnsi="方正仿宋_GBK" w:eastAsia="方正仿宋_GBK" w:cs="方正仿宋_GBK"/>
          <w:sz w:val="32"/>
          <w:szCs w:val="32"/>
          <w:lang w:val="en-US" w:eastAsia="zh-CN"/>
        </w:rPr>
        <w:t>。</w:t>
      </w:r>
    </w:p>
    <w:p w14:paraId="01DD1DC1">
      <w:pPr>
        <w:numPr>
          <w:ilvl w:val="1"/>
          <w:numId w:val="4"/>
        </w:numPr>
        <w:spacing w:beforeLines="0" w:afterLines="0"/>
        <w:ind w:left="0" w:leftChars="0" w:firstLine="640" w:firstLineChars="200"/>
        <w:rPr>
          <w:rFonts w:hint="default" w:ascii="方正仿宋_GBK" w:hAnsi="方正仿宋_GBK" w:eastAsia="方正仿宋_GBK" w:cs="方正仿宋_GBK"/>
          <w:sz w:val="32"/>
          <w:szCs w:val="32"/>
          <w:u w:val="none"/>
        </w:rPr>
      </w:pPr>
      <w:r>
        <w:rPr>
          <w:rFonts w:hint="eastAsia" w:ascii="方正仿宋_GBK" w:hAnsi="方正仿宋_GBK" w:eastAsia="方正仿宋_GBK" w:cs="方正仿宋_GBK"/>
          <w:sz w:val="32"/>
          <w:szCs w:val="32"/>
        </w:rPr>
        <w:t>增量项目执行期限为12年，起始日期以承诺投产日期为准，入选时已投产的项目，按照入选标的起始日期确定执行起始日期。未投产项目执行起始时间按项目承诺的投产时间确定。如未按期投产，实际投产日期前的机制电量自动失效。</w:t>
      </w:r>
    </w:p>
    <w:p w14:paraId="67332D8B">
      <w:pPr>
        <w:numPr>
          <w:ilvl w:val="1"/>
          <w:numId w:val="4"/>
        </w:numPr>
        <w:spacing w:beforeLines="0" w:afterLines="0"/>
        <w:ind w:left="0" w:leftChars="0" w:firstLine="640" w:firstLineChars="200"/>
        <w:rPr>
          <w:rFonts w:hint="default" w:ascii="方正仿宋_GBK" w:hAnsi="方正仿宋_GBK" w:eastAsia="方正仿宋_GBK" w:cs="方正仿宋_GBK"/>
          <w:sz w:val="32"/>
          <w:szCs w:val="32"/>
          <w:u w:val="none"/>
        </w:rPr>
      </w:pPr>
      <w:r>
        <w:rPr>
          <w:rFonts w:hint="eastAsia" w:ascii="方正仿宋_GBK" w:hAnsi="方正仿宋_GBK" w:eastAsia="方正仿宋_GBK" w:cs="方正仿宋_GBK"/>
          <w:sz w:val="32"/>
          <w:szCs w:val="32"/>
          <w:u w:val="none"/>
          <w:lang w:val="en-US" w:eastAsia="zh-CN"/>
        </w:rPr>
        <w:t>若因计量装置等问题导致历史电量需要清算时，清算电量纳入发现月处理。不改变历史月份、年份机制电量。</w:t>
      </w:r>
    </w:p>
    <w:p w14:paraId="0A09D5F1">
      <w:pPr>
        <w:spacing w:beforeLines="0" w:afterLines="0"/>
        <w:ind w:firstLine="707" w:firstLineChars="221"/>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第3章 新能源机制电价</w:t>
      </w:r>
    </w:p>
    <w:p w14:paraId="396169AA">
      <w:pPr>
        <w:numPr>
          <w:ilvl w:val="1"/>
          <w:numId w:val="6"/>
        </w:numPr>
        <w:spacing w:beforeLines="0" w:afterLines="0"/>
        <w:ind w:left="0" w:leftChars="0"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新能源机制电价根据新能源项目投产情况，按照下列第</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种方式执行：</w:t>
      </w:r>
    </w:p>
    <w:p w14:paraId="09CD9E89">
      <w:pPr>
        <w:spacing w:beforeLines="0" w:afterLines="0"/>
        <w:ind w:firstLine="707" w:firstLineChars="221"/>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（1）对202</w:t>
      </w: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val="en-US" w:eastAsia="zh-CN"/>
        </w:rPr>
        <w:t>6</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日前</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不含</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已投产的新能源发电项目，</w:t>
      </w:r>
      <w:r>
        <w:rPr>
          <w:rFonts w:hint="eastAsia" w:ascii="方正仿宋_GBK" w:hAnsi="方正仿宋_GBK" w:eastAsia="方正仿宋_GBK" w:cs="方正仿宋_GBK"/>
          <w:sz w:val="32"/>
          <w:szCs w:val="32"/>
          <w:lang w:val="en-US" w:eastAsia="zh-CN"/>
        </w:rPr>
        <w:t>机制电价为</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u w:val="single"/>
          <w:lang w:val="en-US" w:eastAsia="zh-CN"/>
        </w:rPr>
        <w:t>0.3515</w:t>
      </w:r>
      <w:r>
        <w:rPr>
          <w:rFonts w:hint="eastAsia" w:ascii="方正仿宋_GBK" w:hAnsi="方正仿宋_GBK" w:eastAsia="方正仿宋_GBK" w:cs="方正仿宋_GBK"/>
          <w:sz w:val="32"/>
          <w:szCs w:val="32"/>
        </w:rPr>
        <w:t>元/</w:t>
      </w:r>
      <w:r>
        <w:rPr>
          <w:rFonts w:hint="eastAsia" w:ascii="方正仿宋_GBK" w:hAnsi="方正仿宋_GBK" w:eastAsia="方正仿宋_GBK" w:cs="方正仿宋_GBK"/>
          <w:sz w:val="32"/>
          <w:szCs w:val="32"/>
          <w:lang w:val="en-US" w:eastAsia="zh-CN"/>
        </w:rPr>
        <w:t>千</w:t>
      </w:r>
      <w:r>
        <w:rPr>
          <w:rFonts w:hint="eastAsia" w:ascii="方正仿宋_GBK" w:hAnsi="方正仿宋_GBK" w:eastAsia="方正仿宋_GBK" w:cs="方正仿宋_GBK"/>
          <w:sz w:val="32"/>
          <w:szCs w:val="32"/>
        </w:rPr>
        <w:t>瓦时。</w:t>
      </w:r>
    </w:p>
    <w:p w14:paraId="660ECCF4">
      <w:pPr>
        <w:spacing w:beforeLines="0" w:afterLines="0"/>
        <w:ind w:firstLine="707" w:firstLineChars="221"/>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（2）202</w:t>
      </w: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val="en-US" w:eastAsia="zh-CN"/>
        </w:rPr>
        <w:t>6</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日后投产并网发电的新能源发电项目，通过竞价确定机制电价</w:t>
      </w:r>
      <w:r>
        <w:rPr>
          <w:rFonts w:hint="eastAsia" w:ascii="方正仿宋_GBK" w:hAnsi="方正仿宋_GBK" w:eastAsia="方正仿宋_GBK" w:cs="方正仿宋_GBK"/>
          <w:sz w:val="32"/>
          <w:szCs w:val="32"/>
          <w:lang w:val="en-US" w:eastAsia="zh-CN"/>
        </w:rPr>
        <w:t>为</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rPr>
        <w:t>元/</w:t>
      </w:r>
      <w:r>
        <w:rPr>
          <w:rFonts w:hint="eastAsia" w:ascii="方正仿宋_GBK" w:hAnsi="方正仿宋_GBK" w:eastAsia="方正仿宋_GBK" w:cs="方正仿宋_GBK"/>
          <w:sz w:val="32"/>
          <w:szCs w:val="32"/>
          <w:lang w:val="en-US" w:eastAsia="zh-CN"/>
        </w:rPr>
        <w:t>千</w:t>
      </w:r>
      <w:r>
        <w:rPr>
          <w:rFonts w:hint="eastAsia" w:ascii="方正仿宋_GBK" w:hAnsi="方正仿宋_GBK" w:eastAsia="方正仿宋_GBK" w:cs="方正仿宋_GBK"/>
          <w:sz w:val="32"/>
          <w:szCs w:val="32"/>
        </w:rPr>
        <w:t>瓦时。</w:t>
      </w:r>
    </w:p>
    <w:p w14:paraId="6C82119C">
      <w:pPr>
        <w:numPr>
          <w:ilvl w:val="1"/>
          <w:numId w:val="6"/>
        </w:numPr>
        <w:spacing w:beforeLines="0" w:afterLines="0"/>
        <w:ind w:left="0" w:leftChars="0"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本协议约定的交易价格为乙方上网侧价格，此价格为含税价格。</w:t>
      </w:r>
    </w:p>
    <w:p w14:paraId="5F8BDB8E">
      <w:pPr>
        <w:numPr>
          <w:ilvl w:val="1"/>
          <w:numId w:val="6"/>
        </w:numPr>
        <w:spacing w:beforeLines="0" w:afterLines="0"/>
        <w:ind w:left="0" w:leftChars="0"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其他：</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w:t>
      </w:r>
    </w:p>
    <w:p w14:paraId="25F99A17">
      <w:pPr>
        <w:spacing w:beforeLines="0" w:afterLines="0"/>
        <w:ind w:firstLine="707" w:firstLineChars="221"/>
        <w:rPr>
          <w:rFonts w:hint="default" w:ascii="方正仿宋_GBK" w:hAnsi="方正仿宋_GBK" w:eastAsia="方正仿宋_GBK" w:cs="方正仿宋_GBK"/>
          <w:sz w:val="32"/>
          <w:szCs w:val="32"/>
          <w:lang w:val="en-US"/>
        </w:rPr>
      </w:pPr>
      <w:r>
        <w:rPr>
          <w:rFonts w:hint="eastAsia" w:ascii="方正仿宋_GBK" w:hAnsi="方正仿宋_GBK" w:eastAsia="方正仿宋_GBK" w:cs="方正仿宋_GBK"/>
          <w:sz w:val="32"/>
          <w:szCs w:val="32"/>
        </w:rPr>
        <w:t xml:space="preserve">第4章 </w:t>
      </w:r>
      <w:r>
        <w:rPr>
          <w:rFonts w:hint="eastAsia" w:ascii="方正仿宋_GBK" w:hAnsi="方正仿宋_GBK" w:eastAsia="方正仿宋_GBK" w:cs="方正仿宋_GBK"/>
          <w:sz w:val="32"/>
          <w:szCs w:val="32"/>
          <w:lang w:val="en-US" w:eastAsia="zh-CN"/>
        </w:rPr>
        <w:t>市场交易均价</w:t>
      </w:r>
    </w:p>
    <w:p w14:paraId="19AF7330">
      <w:pPr>
        <w:numPr>
          <w:ilvl w:val="1"/>
          <w:numId w:val="7"/>
        </w:numPr>
        <w:spacing w:beforeLines="0" w:afterLines="0"/>
        <w:ind w:left="0" w:leftChars="0"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用于</w:t>
      </w:r>
      <w:r>
        <w:rPr>
          <w:rFonts w:hint="eastAsia" w:ascii="方正仿宋_GBK" w:hAnsi="方正仿宋_GBK" w:eastAsia="方正仿宋_GBK" w:cs="方正仿宋_GBK"/>
          <w:sz w:val="32"/>
          <w:szCs w:val="32"/>
        </w:rPr>
        <w:t>机制电量差价电费</w:t>
      </w:r>
      <w:r>
        <w:rPr>
          <w:rFonts w:hint="eastAsia" w:ascii="方正仿宋_GBK" w:hAnsi="方正仿宋_GBK" w:eastAsia="方正仿宋_GBK" w:cs="方正仿宋_GBK"/>
          <w:sz w:val="32"/>
          <w:szCs w:val="32"/>
          <w:lang w:val="en-US" w:eastAsia="zh-CN"/>
        </w:rPr>
        <w:t>结算的</w:t>
      </w:r>
      <w:r>
        <w:rPr>
          <w:rFonts w:hint="eastAsia" w:ascii="方正仿宋_GBK" w:hAnsi="方正仿宋_GBK" w:eastAsia="方正仿宋_GBK" w:cs="方正仿宋_GBK"/>
          <w:sz w:val="32"/>
          <w:szCs w:val="32"/>
        </w:rPr>
        <w:t>市场均价</w:t>
      </w:r>
      <w:r>
        <w:rPr>
          <w:rFonts w:hint="eastAsia" w:ascii="方正仿宋_GBK" w:hAnsi="方正仿宋_GBK" w:eastAsia="方正仿宋_GBK" w:cs="方正仿宋_GBK"/>
          <w:sz w:val="32"/>
          <w:szCs w:val="32"/>
          <w:lang w:val="en-US" w:eastAsia="zh-CN"/>
        </w:rPr>
        <w:t>按风电、光伏两个类别分别计算。</w:t>
      </w:r>
    </w:p>
    <w:p w14:paraId="5FE4F29E">
      <w:pPr>
        <w:numPr>
          <w:ilvl w:val="1"/>
          <w:numId w:val="7"/>
        </w:numPr>
        <w:spacing w:beforeLines="0" w:afterLines="0"/>
        <w:ind w:left="0" w:leftChars="0"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电力市场全月现货连续试运行或正式运行后，</w:t>
      </w:r>
      <w:r>
        <w:rPr>
          <w:rFonts w:hint="eastAsia" w:ascii="方正仿宋_GBK" w:hAnsi="方正仿宋_GBK" w:eastAsia="方正仿宋_GBK" w:cs="方正仿宋_GBK"/>
          <w:sz w:val="32"/>
          <w:szCs w:val="32"/>
          <w:lang w:val="en-US" w:eastAsia="zh-CN"/>
        </w:rPr>
        <w:t>机制电量差价电费市场均价</w:t>
      </w:r>
      <w:r>
        <w:rPr>
          <w:rFonts w:hint="eastAsia" w:ascii="方正仿宋_GBK" w:hAnsi="方正仿宋_GBK" w:eastAsia="方正仿宋_GBK" w:cs="方正仿宋_GBK"/>
          <w:sz w:val="32"/>
          <w:szCs w:val="32"/>
          <w:lang w:eastAsia="zh-CN"/>
        </w:rPr>
        <w:t>按照月度发电侧实时市场报量报价的同类项目出清加权均价确定；未全月现货连续试运行期间，市场交易均价原则上按照省内月度发电侧中长期交易同类项目签约加权均价确定</w:t>
      </w:r>
      <w:r>
        <w:rPr>
          <w:rFonts w:hint="eastAsia" w:ascii="方正仿宋_GBK" w:hAnsi="方正仿宋_GBK" w:eastAsia="方正仿宋_GBK" w:cs="方正仿宋_GBK"/>
          <w:sz w:val="32"/>
          <w:szCs w:val="32"/>
        </w:rPr>
        <w:t>。</w:t>
      </w:r>
    </w:p>
    <w:p w14:paraId="52C30F04">
      <w:pPr>
        <w:spacing w:beforeLines="0" w:afterLines="0"/>
        <w:ind w:firstLine="707" w:firstLineChars="221"/>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第5章 </w:t>
      </w:r>
      <w:r>
        <w:rPr>
          <w:rFonts w:hint="eastAsia" w:ascii="方正仿宋_GBK" w:hAnsi="方正仿宋_GBK" w:eastAsia="方正仿宋_GBK" w:cs="方正仿宋_GBK"/>
          <w:sz w:val="32"/>
          <w:szCs w:val="32"/>
          <w:lang w:val="en-US" w:eastAsia="zh-CN"/>
        </w:rPr>
        <w:t>机制</w:t>
      </w:r>
      <w:r>
        <w:rPr>
          <w:rFonts w:hint="eastAsia" w:ascii="方正仿宋_GBK" w:hAnsi="方正仿宋_GBK" w:eastAsia="方正仿宋_GBK" w:cs="方正仿宋_GBK"/>
          <w:sz w:val="32"/>
          <w:szCs w:val="32"/>
        </w:rPr>
        <w:t>电量计算、结算和支付</w:t>
      </w:r>
    </w:p>
    <w:p w14:paraId="0CEA28A8">
      <w:pPr>
        <w:numPr>
          <w:ilvl w:val="1"/>
          <w:numId w:val="8"/>
        </w:numPr>
        <w:spacing w:beforeLines="0" w:afterLines="0"/>
        <w:ind w:left="0" w:leftChars="0"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甲乙双方同意按照</w:t>
      </w:r>
      <w:r>
        <w:rPr>
          <w:rFonts w:hint="eastAsia" w:ascii="方正仿宋_GBK" w:hAnsi="方正仿宋_GBK" w:eastAsia="方正仿宋_GBK" w:cs="方正仿宋_GBK"/>
          <w:sz w:val="32"/>
          <w:szCs w:val="32"/>
          <w:lang w:val="en-US" w:eastAsia="zh-CN"/>
        </w:rPr>
        <w:t>本</w:t>
      </w:r>
      <w:r>
        <w:rPr>
          <w:rFonts w:hint="eastAsia" w:ascii="方正仿宋_GBK" w:hAnsi="方正仿宋_GBK" w:eastAsia="方正仿宋_GBK" w:cs="方正仿宋_GBK"/>
          <w:sz w:val="32"/>
          <w:szCs w:val="32"/>
        </w:rPr>
        <w:t>协议</w:t>
      </w:r>
      <w:r>
        <w:rPr>
          <w:rFonts w:hint="eastAsia" w:ascii="方正仿宋_GBK" w:hAnsi="方正仿宋_GBK" w:eastAsia="方正仿宋_GBK" w:cs="方正仿宋_GBK"/>
          <w:sz w:val="32"/>
          <w:szCs w:val="32"/>
          <w:lang w:val="en-US" w:eastAsia="zh-CN"/>
        </w:rPr>
        <w:t>约定机制电价</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市场均价、机制电量</w:t>
      </w:r>
      <w:r>
        <w:rPr>
          <w:rFonts w:hint="eastAsia" w:ascii="方正仿宋_GBK" w:hAnsi="方正仿宋_GBK" w:eastAsia="方正仿宋_GBK" w:cs="方正仿宋_GBK"/>
          <w:sz w:val="32"/>
          <w:szCs w:val="32"/>
        </w:rPr>
        <w:t>进行差价结算。</w:t>
      </w:r>
    </w:p>
    <w:p w14:paraId="5ED1836B">
      <w:pPr>
        <w:numPr>
          <w:ilvl w:val="1"/>
          <w:numId w:val="8"/>
        </w:numPr>
        <w:spacing w:beforeLines="0" w:afterLines="0"/>
        <w:ind w:left="0" w:leftChars="0"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机制电量</w:t>
      </w:r>
      <w:r>
        <w:rPr>
          <w:rFonts w:hint="eastAsia" w:ascii="方正仿宋_GBK" w:hAnsi="方正仿宋_GBK" w:eastAsia="方正仿宋_GBK" w:cs="方正仿宋_GBK"/>
          <w:sz w:val="32"/>
          <w:szCs w:val="32"/>
        </w:rPr>
        <w:t>计算</w:t>
      </w:r>
    </w:p>
    <w:p w14:paraId="539C15CD">
      <w:pPr>
        <w:spacing w:beforeLines="0" w:afterLines="0"/>
        <w:ind w:left="0" w:leftChars="0"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机制电量=月度上网电量*月度机制电量比例</w:t>
      </w:r>
    </w:p>
    <w:p w14:paraId="59182787">
      <w:pPr>
        <w:numPr>
          <w:ilvl w:val="0"/>
          <w:numId w:val="0"/>
        </w:numPr>
        <w:spacing w:beforeLines="0" w:afterLines="0"/>
        <w:ind w:left="0" w:leftChars="0"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月度机制电量比例与年度机制电量比例相同，为上述2.1条约定的比例。增量项目单个自然年内已结算的机制</w:t>
      </w:r>
      <w:r>
        <w:rPr>
          <w:rFonts w:hint="eastAsia" w:ascii="方正仿宋_GBK" w:hAnsi="方正仿宋_GBK" w:eastAsia="方正仿宋_GBK" w:cs="方正仿宋_GBK"/>
          <w:sz w:val="32"/>
          <w:szCs w:val="32"/>
        </w:rPr>
        <w:t>电量累计达到</w:t>
      </w:r>
      <w:r>
        <w:rPr>
          <w:rFonts w:hint="eastAsia" w:ascii="方正仿宋_GBK" w:hAnsi="方正仿宋_GBK" w:eastAsia="方正仿宋_GBK" w:cs="方正仿宋_GBK"/>
          <w:sz w:val="32"/>
          <w:szCs w:val="32"/>
          <w:lang w:val="en-US" w:eastAsia="zh-CN"/>
        </w:rPr>
        <w:t>年度机制电量规模后</w:t>
      </w:r>
      <w:r>
        <w:rPr>
          <w:rFonts w:hint="eastAsia" w:ascii="方正仿宋_GBK" w:hAnsi="方正仿宋_GBK" w:eastAsia="方正仿宋_GBK" w:cs="方正仿宋_GBK"/>
          <w:sz w:val="32"/>
          <w:szCs w:val="32"/>
        </w:rPr>
        <w:t>，当月超过部分及</w:t>
      </w:r>
      <w:r>
        <w:rPr>
          <w:rFonts w:hint="eastAsia" w:ascii="方正仿宋_GBK" w:hAnsi="方正仿宋_GBK" w:eastAsia="方正仿宋_GBK" w:cs="方正仿宋_GBK"/>
          <w:sz w:val="32"/>
          <w:szCs w:val="32"/>
          <w:lang w:val="en-US" w:eastAsia="zh-CN"/>
        </w:rPr>
        <w:t>本年度</w:t>
      </w:r>
      <w:r>
        <w:rPr>
          <w:rFonts w:hint="eastAsia" w:ascii="方正仿宋_GBK" w:hAnsi="方正仿宋_GBK" w:eastAsia="方正仿宋_GBK" w:cs="方正仿宋_GBK"/>
          <w:sz w:val="32"/>
          <w:szCs w:val="32"/>
        </w:rPr>
        <w:t>后续月不再执行机制电价。若年底仍未达到年度机制电量规模，则当年缺额部分电量不进行跨年滚动</w:t>
      </w:r>
      <w:r>
        <w:rPr>
          <w:rFonts w:hint="eastAsia" w:ascii="方正仿宋_GBK" w:hAnsi="方正仿宋_GBK" w:eastAsia="方正仿宋_GBK" w:cs="方正仿宋_GBK"/>
          <w:sz w:val="32"/>
          <w:szCs w:val="32"/>
          <w:lang w:eastAsia="zh-CN"/>
        </w:rPr>
        <w:t>。</w:t>
      </w:r>
    </w:p>
    <w:p w14:paraId="39AA473F">
      <w:pPr>
        <w:numPr>
          <w:ilvl w:val="1"/>
          <w:numId w:val="8"/>
        </w:numPr>
        <w:spacing w:beforeLines="0" w:afterLines="0"/>
        <w:ind w:left="0" w:leftChars="0"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机制电量差价电费（以下简称差价电费）</w:t>
      </w:r>
      <w:r>
        <w:rPr>
          <w:rFonts w:hint="eastAsia" w:ascii="方正仿宋_GBK" w:hAnsi="方正仿宋_GBK" w:eastAsia="方正仿宋_GBK" w:cs="方正仿宋_GBK"/>
          <w:sz w:val="32"/>
          <w:szCs w:val="32"/>
        </w:rPr>
        <w:t>计算</w:t>
      </w:r>
    </w:p>
    <w:p w14:paraId="1F735153">
      <w:pPr>
        <w:spacing w:beforeLines="0" w:afterLines="0"/>
        <w:ind w:firstLine="707" w:firstLineChars="221"/>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差价电费=机制电量×（机制电价-市场交易均价）</w:t>
      </w:r>
    </w:p>
    <w:p w14:paraId="190FF205">
      <w:pPr>
        <w:pStyle w:val="2"/>
        <w:ind w:left="0" w:leftChars="0" w:firstLine="640" w:firstLineChars="0"/>
        <w:rPr>
          <w:rFonts w:hint="default" w:eastAsia="方正仿宋_GBK"/>
          <w:lang w:val="en-US" w:eastAsia="zh-CN"/>
        </w:rPr>
      </w:pPr>
      <w:r>
        <w:rPr>
          <w:rFonts w:hint="eastAsia" w:ascii="方正仿宋_GBK" w:hAnsi="方正仿宋_GBK" w:eastAsia="方正仿宋_GBK" w:cs="方正仿宋_GBK"/>
          <w:sz w:val="32"/>
          <w:szCs w:val="32"/>
          <w:lang w:val="en-US" w:eastAsia="zh-CN"/>
        </w:rPr>
        <w:t>机制电价为3.1条约定的价格，市场交易均价为按4.2条计算的价格。</w:t>
      </w:r>
    </w:p>
    <w:p w14:paraId="7E6D0DD0">
      <w:pPr>
        <w:numPr>
          <w:ilvl w:val="1"/>
          <w:numId w:val="8"/>
        </w:numPr>
        <w:spacing w:beforeLines="0" w:afterLines="0"/>
        <w:ind w:left="0" w:leftChars="0"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结算和支付方式</w:t>
      </w:r>
    </w:p>
    <w:p w14:paraId="20DA24B7">
      <w:pPr>
        <w:numPr>
          <w:ilvl w:val="2"/>
          <w:numId w:val="8"/>
        </w:numPr>
        <w:spacing w:beforeLines="0" w:afterLines="0"/>
        <w:ind w:left="0" w:leftChars="0"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甲方</w:t>
      </w:r>
      <w:r>
        <w:rPr>
          <w:rFonts w:hint="eastAsia" w:ascii="方正仿宋_GBK" w:hAnsi="方正仿宋_GBK" w:eastAsia="方正仿宋_GBK" w:cs="方正仿宋_GBK"/>
          <w:sz w:val="32"/>
          <w:szCs w:val="32"/>
        </w:rPr>
        <w:t>根据本协议</w:t>
      </w:r>
      <w:r>
        <w:rPr>
          <w:rFonts w:hint="eastAsia" w:ascii="方正仿宋_GBK" w:hAnsi="方正仿宋_GBK" w:eastAsia="方正仿宋_GBK" w:cs="方正仿宋_GBK"/>
          <w:sz w:val="32"/>
          <w:szCs w:val="32"/>
          <w:lang w:val="en-US" w:eastAsia="zh-CN"/>
        </w:rPr>
        <w:t>在电费结算单中列明</w:t>
      </w:r>
      <w:r>
        <w:rPr>
          <w:rFonts w:hint="eastAsia" w:ascii="方正仿宋_GBK" w:hAnsi="方正仿宋_GBK" w:eastAsia="方正仿宋_GBK" w:cs="方正仿宋_GBK"/>
          <w:sz w:val="32"/>
          <w:szCs w:val="32"/>
        </w:rPr>
        <w:t>差价电费，</w:t>
      </w:r>
      <w:r>
        <w:rPr>
          <w:rFonts w:hint="eastAsia" w:ascii="方正仿宋_GBK" w:hAnsi="方正仿宋_GBK" w:eastAsia="方正仿宋_GBK" w:cs="方正仿宋_GBK"/>
          <w:sz w:val="32"/>
          <w:szCs w:val="32"/>
          <w:lang w:val="en-US" w:eastAsia="zh-CN"/>
        </w:rPr>
        <w:t>按月出具结算单。</w:t>
      </w:r>
      <w:r>
        <w:rPr>
          <w:rFonts w:hint="eastAsia" w:ascii="方正仿宋_GBK" w:hAnsi="方正仿宋_GBK" w:eastAsia="方正仿宋_GBK" w:cs="方正仿宋_GBK"/>
          <w:sz w:val="32"/>
          <w:szCs w:val="32"/>
        </w:rPr>
        <w:t>结算单</w:t>
      </w:r>
      <w:r>
        <w:rPr>
          <w:rFonts w:hint="eastAsia" w:ascii="方正仿宋_GBK" w:hAnsi="方正仿宋_GBK" w:eastAsia="方正仿宋_GBK" w:cs="方正仿宋_GBK"/>
          <w:sz w:val="32"/>
          <w:szCs w:val="32"/>
          <w:lang w:val="en-US" w:eastAsia="zh-CN"/>
        </w:rPr>
        <w:t>包含</w:t>
      </w:r>
      <w:r>
        <w:rPr>
          <w:rFonts w:hint="eastAsia" w:ascii="方正仿宋_GBK" w:hAnsi="方正仿宋_GBK" w:eastAsia="方正仿宋_GBK" w:cs="方正仿宋_GBK"/>
          <w:sz w:val="32"/>
          <w:szCs w:val="32"/>
        </w:rPr>
        <w:t>协议双方、</w:t>
      </w:r>
      <w:r>
        <w:rPr>
          <w:rFonts w:hint="eastAsia" w:ascii="方正仿宋_GBK" w:hAnsi="方正仿宋_GBK" w:eastAsia="方正仿宋_GBK" w:cs="方正仿宋_GBK"/>
          <w:sz w:val="32"/>
          <w:szCs w:val="32"/>
          <w:lang w:val="en-US" w:eastAsia="zh-CN"/>
        </w:rPr>
        <w:t>电源类别</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机制</w:t>
      </w:r>
      <w:r>
        <w:rPr>
          <w:rFonts w:hint="eastAsia" w:ascii="方正仿宋_GBK" w:hAnsi="方正仿宋_GBK" w:eastAsia="方正仿宋_GBK" w:cs="方正仿宋_GBK"/>
          <w:sz w:val="32"/>
          <w:szCs w:val="32"/>
        </w:rPr>
        <w:t>电量、</w:t>
      </w:r>
      <w:r>
        <w:rPr>
          <w:rFonts w:hint="eastAsia" w:ascii="方正仿宋_GBK" w:hAnsi="方正仿宋_GBK" w:eastAsia="方正仿宋_GBK" w:cs="方正仿宋_GBK"/>
          <w:sz w:val="32"/>
          <w:szCs w:val="32"/>
          <w:lang w:val="en-US" w:eastAsia="zh-CN"/>
        </w:rPr>
        <w:t>机制</w:t>
      </w:r>
      <w:r>
        <w:rPr>
          <w:rFonts w:hint="eastAsia" w:ascii="方正仿宋_GBK" w:hAnsi="方正仿宋_GBK" w:eastAsia="方正仿宋_GBK" w:cs="方正仿宋_GBK"/>
          <w:sz w:val="32"/>
          <w:szCs w:val="32"/>
        </w:rPr>
        <w:t>电价</w:t>
      </w:r>
      <w:r>
        <w:rPr>
          <w:rFonts w:hint="eastAsia" w:ascii="方正仿宋_GBK" w:hAnsi="方正仿宋_GBK" w:eastAsia="方正仿宋_GBK" w:cs="方正仿宋_GBK"/>
          <w:sz w:val="32"/>
          <w:szCs w:val="32"/>
          <w:lang w:val="en-US" w:eastAsia="zh-CN"/>
        </w:rPr>
        <w:t>与市场交易均价差价、</w:t>
      </w:r>
      <w:r>
        <w:rPr>
          <w:rFonts w:hint="eastAsia" w:ascii="方正仿宋_GBK" w:hAnsi="方正仿宋_GBK" w:eastAsia="方正仿宋_GBK" w:cs="方正仿宋_GBK"/>
          <w:sz w:val="32"/>
          <w:szCs w:val="32"/>
        </w:rPr>
        <w:t>结算金额。</w:t>
      </w:r>
    </w:p>
    <w:p w14:paraId="698784C7">
      <w:pPr>
        <w:numPr>
          <w:ilvl w:val="2"/>
          <w:numId w:val="8"/>
        </w:numPr>
        <w:spacing w:beforeLines="0" w:afterLines="0"/>
        <w:ind w:left="0" w:leftChars="0"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甲方根据双方另行签订的购售电合同（或协议）中明确的收款账户支付相关费用</w:t>
      </w:r>
      <w:r>
        <w:rPr>
          <w:rFonts w:hint="eastAsia" w:ascii="方正仿宋_GBK" w:hAnsi="方正仿宋_GBK" w:eastAsia="方正仿宋_GBK" w:cs="方正仿宋_GBK"/>
          <w:sz w:val="32"/>
          <w:szCs w:val="32"/>
        </w:rPr>
        <w:t>。</w:t>
      </w:r>
    </w:p>
    <w:p w14:paraId="4415FABE">
      <w:pPr>
        <w:spacing w:beforeLines="0" w:afterLines="0"/>
        <w:ind w:firstLine="707" w:firstLineChars="221"/>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第6章 协议的生效和期限</w:t>
      </w:r>
    </w:p>
    <w:p w14:paraId="31349B0F">
      <w:pPr>
        <w:numPr>
          <w:ilvl w:val="1"/>
          <w:numId w:val="9"/>
        </w:numPr>
        <w:spacing w:beforeLines="0" w:afterLines="0"/>
        <w:ind w:left="0" w:leftChars="0"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本协议在以下条件全部满足之日起生效：</w:t>
      </w:r>
    </w:p>
    <w:p w14:paraId="746A95E0">
      <w:pPr>
        <w:spacing w:beforeLines="0" w:afterLines="0"/>
        <w:ind w:firstLine="707" w:firstLineChars="221"/>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（1）经双方法定代表人或者委托代理人签名</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除自然人外需</w:t>
      </w:r>
      <w:r>
        <w:rPr>
          <w:rFonts w:hint="eastAsia" w:ascii="方正仿宋_GBK" w:hAnsi="方正仿宋_GBK" w:eastAsia="方正仿宋_GBK" w:cs="方正仿宋_GBK"/>
          <w:sz w:val="32"/>
          <w:szCs w:val="32"/>
        </w:rPr>
        <w:t>加盖公章或者协议专用章。</w:t>
      </w:r>
    </w:p>
    <w:p w14:paraId="20A1BBF1">
      <w:pPr>
        <w:spacing w:beforeLines="0" w:afterLines="0"/>
        <w:ind w:firstLine="707" w:firstLineChars="221"/>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）新能源发电项目已经实际投产。</w:t>
      </w:r>
    </w:p>
    <w:p w14:paraId="1687FCC8">
      <w:pPr>
        <w:numPr>
          <w:ilvl w:val="1"/>
          <w:numId w:val="9"/>
        </w:numPr>
        <w:spacing w:beforeLines="0" w:afterLines="0"/>
        <w:ind w:left="0" w:leftChars="0"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存在下述情况的，本协议作废：</w:t>
      </w:r>
    </w:p>
    <w:p w14:paraId="70902645">
      <w:pPr>
        <w:spacing w:beforeLines="0" w:afterLines="0"/>
        <w:ind w:firstLine="707" w:firstLineChars="221"/>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（1）新能源项目实际投产时间较</w:t>
      </w:r>
      <w:r>
        <w:rPr>
          <w:rFonts w:hint="eastAsia" w:ascii="方正仿宋_GBK" w:hAnsi="方正仿宋_GBK" w:eastAsia="方正仿宋_GBK" w:cs="方正仿宋_GBK"/>
          <w:sz w:val="32"/>
          <w:szCs w:val="32"/>
          <w:lang w:val="en-US" w:eastAsia="zh-CN"/>
        </w:rPr>
        <w:t>承诺</w:t>
      </w:r>
      <w:r>
        <w:rPr>
          <w:rFonts w:hint="eastAsia" w:ascii="方正仿宋_GBK" w:hAnsi="方正仿宋_GBK" w:eastAsia="方正仿宋_GBK" w:cs="方正仿宋_GBK"/>
          <w:sz w:val="32"/>
          <w:szCs w:val="32"/>
        </w:rPr>
        <w:t>投产时间晚于</w:t>
      </w:r>
      <w:r>
        <w:rPr>
          <w:rFonts w:hint="eastAsia" w:ascii="方正仿宋_GBK" w:hAnsi="方正仿宋_GBK" w:eastAsia="方正仿宋_GBK" w:cs="方正仿宋_GBK"/>
          <w:sz w:val="32"/>
          <w:szCs w:val="32"/>
          <w:u w:val="single"/>
        </w:rPr>
        <w:t>6</w:t>
      </w:r>
      <w:r>
        <w:rPr>
          <w:rFonts w:hint="eastAsia" w:ascii="方正仿宋_GBK" w:hAnsi="方正仿宋_GBK" w:eastAsia="方正仿宋_GBK" w:cs="方正仿宋_GBK"/>
          <w:sz w:val="32"/>
          <w:szCs w:val="32"/>
        </w:rPr>
        <w:t>个月。</w:t>
      </w:r>
    </w:p>
    <w:p w14:paraId="5A471788">
      <w:pPr>
        <w:spacing w:beforeLines="0" w:afterLines="0"/>
        <w:ind w:firstLine="707" w:firstLineChars="221"/>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（2）法律法规规定的</w:t>
      </w:r>
      <w:bookmarkStart w:id="0" w:name="_GoBack"/>
      <w:r>
        <w:rPr>
          <w:rFonts w:hint="eastAsia" w:ascii="方正仿宋_GBK" w:hAnsi="方正仿宋_GBK" w:eastAsia="方正仿宋_GBK" w:cs="方正仿宋_GBK"/>
          <w:sz w:val="32"/>
          <w:szCs w:val="32"/>
          <w:lang w:eastAsia="zh-CN"/>
        </w:rPr>
        <w:t>其他</w:t>
      </w:r>
      <w:bookmarkEnd w:id="0"/>
      <w:r>
        <w:rPr>
          <w:rFonts w:hint="eastAsia" w:ascii="方正仿宋_GBK" w:hAnsi="方正仿宋_GBK" w:eastAsia="方正仿宋_GBK" w:cs="方正仿宋_GBK"/>
          <w:sz w:val="32"/>
          <w:szCs w:val="32"/>
        </w:rPr>
        <w:t>合同失效的情况。</w:t>
      </w:r>
    </w:p>
    <w:p w14:paraId="4A441EAB">
      <w:pPr>
        <w:spacing w:beforeLines="0" w:afterLines="0"/>
        <w:ind w:firstLine="707" w:firstLineChars="221"/>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rPr>
        <w:t>（3）当事人一方因不可抗力不能履行合同的，根据不可抗力的影响，部分或者全部免除责任，但是法律另有规定的除外。因不可抗力不能履行合同的，应当及时通知对方，以减轻</w:t>
      </w:r>
      <w:r>
        <w:rPr>
          <w:rFonts w:hint="eastAsia" w:ascii="方正仿宋_GBK" w:hAnsi="方正仿宋_GBK" w:eastAsia="方正仿宋_GBK" w:cs="方正仿宋_GBK"/>
          <w:sz w:val="32"/>
          <w:szCs w:val="32"/>
          <w:highlight w:val="none"/>
        </w:rPr>
        <w:t>可能给对方造成的损失，并应当在合理期限内提供证明。</w:t>
      </w:r>
    </w:p>
    <w:p w14:paraId="377FFCF7">
      <w:pPr>
        <w:numPr>
          <w:ilvl w:val="1"/>
          <w:numId w:val="9"/>
        </w:numPr>
        <w:spacing w:beforeLines="0" w:afterLines="0"/>
        <w:ind w:left="0" w:leftChars="0"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highlight w:val="none"/>
        </w:rPr>
        <w:t>本协议自</w:t>
      </w:r>
      <w:r>
        <w:rPr>
          <w:rFonts w:hint="eastAsia" w:ascii="方正仿宋_GBK" w:hAnsi="方正仿宋_GBK" w:eastAsia="方正仿宋_GBK" w:cs="方正仿宋_GBK"/>
          <w:sz w:val="32"/>
          <w:szCs w:val="32"/>
          <w:highlight w:val="none"/>
          <w:u w:val="single"/>
        </w:rPr>
        <w:t xml:space="preserve">     </w:t>
      </w:r>
      <w:r>
        <w:rPr>
          <w:rFonts w:hint="eastAsia" w:ascii="方正仿宋_GBK" w:hAnsi="方正仿宋_GBK" w:eastAsia="方正仿宋_GBK" w:cs="方正仿宋_GBK"/>
          <w:sz w:val="32"/>
          <w:szCs w:val="32"/>
          <w:highlight w:val="none"/>
          <w:u w:val="none"/>
        </w:rPr>
        <w:t>年</w:t>
      </w:r>
      <w:r>
        <w:rPr>
          <w:rFonts w:hint="eastAsia" w:ascii="方正仿宋_GBK" w:hAnsi="方正仿宋_GBK" w:eastAsia="方正仿宋_GBK" w:cs="方正仿宋_GBK"/>
          <w:sz w:val="32"/>
          <w:szCs w:val="32"/>
          <w:highlight w:val="none"/>
          <w:u w:val="single"/>
        </w:rPr>
        <w:t xml:space="preserve">    </w:t>
      </w:r>
      <w:r>
        <w:rPr>
          <w:rFonts w:hint="eastAsia" w:ascii="方正仿宋_GBK" w:hAnsi="方正仿宋_GBK" w:eastAsia="方正仿宋_GBK" w:cs="方正仿宋_GBK"/>
          <w:sz w:val="32"/>
          <w:szCs w:val="32"/>
          <w:highlight w:val="none"/>
          <w:u w:val="none"/>
        </w:rPr>
        <w:t>月</w:t>
      </w:r>
      <w:r>
        <w:rPr>
          <w:rFonts w:hint="eastAsia" w:ascii="方正仿宋_GBK" w:hAnsi="方正仿宋_GBK" w:eastAsia="方正仿宋_GBK" w:cs="方正仿宋_GBK"/>
          <w:sz w:val="32"/>
          <w:szCs w:val="32"/>
          <w:highlight w:val="none"/>
          <w:u w:val="single"/>
        </w:rPr>
        <w:t xml:space="preserve">   </w:t>
      </w:r>
      <w:r>
        <w:rPr>
          <w:rFonts w:hint="eastAsia" w:ascii="方正仿宋_GBK" w:hAnsi="方正仿宋_GBK" w:eastAsia="方正仿宋_GBK" w:cs="方正仿宋_GBK"/>
          <w:sz w:val="32"/>
          <w:szCs w:val="32"/>
          <w:highlight w:val="none"/>
        </w:rPr>
        <w:t>日</w:t>
      </w:r>
      <w:r>
        <w:rPr>
          <w:rFonts w:hint="eastAsia" w:ascii="方正仿宋_GBK" w:hAnsi="方正仿宋_GBK" w:eastAsia="方正仿宋_GBK" w:cs="方正仿宋_GBK"/>
          <w:sz w:val="32"/>
          <w:szCs w:val="32"/>
          <w:highlight w:val="none"/>
          <w:lang w:val="en-US" w:eastAsia="zh-CN"/>
        </w:rPr>
        <w:t>开始执行，</w:t>
      </w:r>
      <w:r>
        <w:rPr>
          <w:rFonts w:hint="eastAsia" w:ascii="方正仿宋_GBK" w:hAnsi="方正仿宋_GBK" w:eastAsia="方正仿宋_GBK" w:cs="方正仿宋_GBK"/>
          <w:sz w:val="32"/>
          <w:szCs w:val="32"/>
          <w:highlight w:val="none"/>
        </w:rPr>
        <w:t>至</w:t>
      </w:r>
      <w:r>
        <w:rPr>
          <w:rFonts w:hint="eastAsia" w:ascii="方正仿宋_GBK" w:hAnsi="方正仿宋_GBK" w:eastAsia="方正仿宋_GBK" w:cs="方正仿宋_GBK"/>
          <w:sz w:val="32"/>
          <w:szCs w:val="32"/>
          <w:highlight w:val="none"/>
          <w:u w:val="single"/>
        </w:rPr>
        <w:t xml:space="preserve">     </w:t>
      </w:r>
      <w:r>
        <w:rPr>
          <w:rFonts w:hint="eastAsia" w:ascii="方正仿宋_GBK" w:hAnsi="方正仿宋_GBK" w:eastAsia="方正仿宋_GBK" w:cs="方正仿宋_GBK"/>
          <w:sz w:val="32"/>
          <w:szCs w:val="32"/>
          <w:highlight w:val="none"/>
          <w:u w:val="none"/>
        </w:rPr>
        <w:t>年</w:t>
      </w:r>
      <w:r>
        <w:rPr>
          <w:rFonts w:hint="eastAsia" w:ascii="方正仿宋_GBK" w:hAnsi="方正仿宋_GBK" w:eastAsia="方正仿宋_GBK" w:cs="方正仿宋_GBK"/>
          <w:sz w:val="32"/>
          <w:szCs w:val="32"/>
          <w:highlight w:val="none"/>
          <w:u w:val="single"/>
          <w:lang w:val="en-US" w:eastAsia="zh-CN"/>
        </w:rPr>
        <w:t>***</w:t>
      </w:r>
      <w:r>
        <w:rPr>
          <w:rFonts w:hint="eastAsia" w:ascii="方正仿宋_GBK" w:hAnsi="方正仿宋_GBK" w:eastAsia="方正仿宋_GBK" w:cs="方正仿宋_GBK"/>
          <w:sz w:val="32"/>
          <w:szCs w:val="32"/>
          <w:highlight w:val="none"/>
          <w:u w:val="single"/>
        </w:rPr>
        <w:t xml:space="preserve">  </w:t>
      </w:r>
      <w:r>
        <w:rPr>
          <w:rFonts w:hint="eastAsia" w:ascii="方正仿宋_GBK" w:hAnsi="方正仿宋_GBK" w:eastAsia="方正仿宋_GBK" w:cs="方正仿宋_GBK"/>
          <w:sz w:val="32"/>
          <w:szCs w:val="32"/>
          <w:highlight w:val="none"/>
          <w:u w:val="none"/>
        </w:rPr>
        <w:t>月</w:t>
      </w:r>
      <w:r>
        <w:rPr>
          <w:rFonts w:hint="eastAsia" w:ascii="方正仿宋_GBK" w:hAnsi="方正仿宋_GBK" w:eastAsia="方正仿宋_GBK" w:cs="方正仿宋_GBK"/>
          <w:sz w:val="32"/>
          <w:szCs w:val="32"/>
          <w:highlight w:val="none"/>
          <w:u w:val="single"/>
        </w:rPr>
        <w:t xml:space="preserve"> </w:t>
      </w:r>
      <w:r>
        <w:rPr>
          <w:rFonts w:hint="eastAsia" w:ascii="方正仿宋_GBK" w:hAnsi="方正仿宋_GBK" w:eastAsia="方正仿宋_GBK" w:cs="方正仿宋_GBK"/>
          <w:sz w:val="32"/>
          <w:szCs w:val="32"/>
          <w:highlight w:val="none"/>
          <w:u w:val="single"/>
          <w:lang w:val="en-US" w:eastAsia="zh-CN"/>
        </w:rPr>
        <w:t xml:space="preserve"> </w:t>
      </w:r>
      <w:r>
        <w:rPr>
          <w:rFonts w:hint="eastAsia" w:ascii="方正仿宋_GBK" w:hAnsi="方正仿宋_GBK" w:eastAsia="方正仿宋_GBK" w:cs="方正仿宋_GBK"/>
          <w:sz w:val="32"/>
          <w:szCs w:val="32"/>
          <w:highlight w:val="none"/>
        </w:rPr>
        <w:t>日止</w:t>
      </w:r>
      <w:r>
        <w:rPr>
          <w:rFonts w:hint="eastAsia" w:ascii="方正仿宋_GBK" w:hAnsi="方正仿宋_GBK" w:eastAsia="方正仿宋_GBK" w:cs="方正仿宋_GBK"/>
          <w:sz w:val="32"/>
          <w:szCs w:val="32"/>
          <w:highlight w:val="none"/>
          <w:lang w:eastAsia="zh-CN"/>
        </w:rPr>
        <w:t>，</w:t>
      </w:r>
      <w:r>
        <w:rPr>
          <w:rFonts w:hint="eastAsia" w:ascii="方正仿宋_GBK" w:hAnsi="方正仿宋_GBK" w:eastAsia="方正仿宋_GBK" w:cs="方正仿宋_GBK"/>
          <w:sz w:val="32"/>
          <w:szCs w:val="32"/>
          <w:highlight w:val="none"/>
        </w:rPr>
        <w:t>一式</w:t>
      </w:r>
      <w:r>
        <w:rPr>
          <w:rFonts w:hint="eastAsia" w:ascii="方正仿宋_GBK" w:hAnsi="方正仿宋_GBK" w:eastAsia="方正仿宋_GBK" w:cs="方正仿宋_GBK"/>
          <w:sz w:val="32"/>
          <w:szCs w:val="32"/>
          <w:highlight w:val="none"/>
          <w:u w:val="single"/>
          <w:lang w:val="en-US" w:eastAsia="zh-CN"/>
        </w:rPr>
        <w:t>贰</w:t>
      </w:r>
      <w:r>
        <w:rPr>
          <w:rFonts w:hint="eastAsia" w:ascii="方正仿宋_GBK" w:hAnsi="方正仿宋_GBK" w:eastAsia="方正仿宋_GBK" w:cs="方正仿宋_GBK"/>
          <w:sz w:val="32"/>
          <w:szCs w:val="32"/>
          <w:highlight w:val="none"/>
        </w:rPr>
        <w:t>份，双方各执</w:t>
      </w:r>
      <w:r>
        <w:rPr>
          <w:rFonts w:hint="eastAsia" w:ascii="方正仿宋_GBK" w:hAnsi="方正仿宋_GBK" w:eastAsia="方正仿宋_GBK" w:cs="方正仿宋_GBK"/>
          <w:sz w:val="32"/>
          <w:szCs w:val="32"/>
          <w:u w:val="single"/>
          <w:lang w:val="en-US" w:eastAsia="zh-CN"/>
        </w:rPr>
        <w:t>壹</w:t>
      </w:r>
      <w:r>
        <w:rPr>
          <w:rFonts w:hint="eastAsia" w:ascii="方正仿宋_GBK" w:hAnsi="方正仿宋_GBK" w:eastAsia="方正仿宋_GBK" w:cs="方正仿宋_GBK"/>
          <w:sz w:val="32"/>
          <w:szCs w:val="32"/>
        </w:rPr>
        <w:t>份</w:t>
      </w:r>
      <w:r>
        <w:rPr>
          <w:rFonts w:hint="eastAsia" w:ascii="方正仿宋_GBK" w:hAnsi="方正仿宋_GBK" w:eastAsia="方正仿宋_GBK" w:cs="方正仿宋_GBK"/>
          <w:sz w:val="32"/>
          <w:szCs w:val="32"/>
          <w:lang w:eastAsia="zh-CN"/>
        </w:rPr>
        <w:t>。</w:t>
      </w:r>
    </w:p>
    <w:p w14:paraId="360D4858">
      <w:pPr>
        <w:numPr>
          <w:ilvl w:val="1"/>
          <w:numId w:val="9"/>
        </w:numPr>
        <w:spacing w:beforeLines="0" w:afterLines="0"/>
        <w:ind w:left="0" w:leftChars="0" w:firstLine="640" w:firstLineChars="200"/>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乙方若需对本协议内容进行修改，可按照相关规定在每年机制电价竞价当月至当年12月10日期间内，向电网企业进行申请进行重新签订</w:t>
      </w:r>
      <w:r>
        <w:rPr>
          <w:rFonts w:hint="eastAsia" w:ascii="方正仿宋_GBK" w:hAnsi="方正仿宋_GBK" w:eastAsia="方正仿宋_GBK" w:cs="方正仿宋_GBK"/>
          <w:sz w:val="32"/>
          <w:szCs w:val="32"/>
          <w:lang w:eastAsia="zh-CN"/>
        </w:rPr>
        <w:t>。</w:t>
      </w:r>
    </w:p>
    <w:p w14:paraId="69BC4563">
      <w:pPr>
        <w:spacing w:beforeLines="0" w:afterLines="0"/>
        <w:ind w:firstLine="707" w:firstLineChars="221"/>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 xml:space="preserve">第7章 </w:t>
      </w:r>
      <w:r>
        <w:rPr>
          <w:rFonts w:hint="eastAsia" w:ascii="方正仿宋_GBK" w:hAnsi="方正仿宋_GBK" w:eastAsia="方正仿宋_GBK" w:cs="方正仿宋_GBK"/>
          <w:sz w:val="32"/>
          <w:szCs w:val="32"/>
          <w:lang w:val="en-US" w:eastAsia="zh-CN"/>
        </w:rPr>
        <w:t>其他</w:t>
      </w:r>
    </w:p>
    <w:p w14:paraId="13CE9F98">
      <w:pPr>
        <w:numPr>
          <w:ilvl w:val="1"/>
          <w:numId w:val="10"/>
        </w:numPr>
        <w:spacing w:beforeLines="0" w:afterLines="0"/>
        <w:ind w:left="0" w:leftChars="0"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本</w:t>
      </w:r>
      <w:r>
        <w:rPr>
          <w:rFonts w:hint="eastAsia" w:ascii="方正仿宋_GBK" w:hAnsi="方正仿宋_GBK" w:eastAsia="方正仿宋_GBK" w:cs="方正仿宋_GBK"/>
          <w:sz w:val="32"/>
          <w:szCs w:val="32"/>
        </w:rPr>
        <w:t>项目机制电量对应绿证统一划转至省级专用绿证账户，由承担机制电量差价结算费用的用户共有。</w:t>
      </w:r>
    </w:p>
    <w:p w14:paraId="4E6E226A">
      <w:pPr>
        <w:numPr>
          <w:ilvl w:val="1"/>
          <w:numId w:val="10"/>
        </w:numPr>
        <w:spacing w:beforeLines="0" w:afterLines="0"/>
        <w:ind w:left="0" w:leftChars="0"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因执行本协议所发生的与本协议有关的一切争议，双方应协商解决</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协商不成的提请价格主管部门调解。</w:t>
      </w:r>
    </w:p>
    <w:p w14:paraId="7A41910B">
      <w:pPr>
        <w:numPr>
          <w:ilvl w:val="1"/>
          <w:numId w:val="10"/>
        </w:numPr>
        <w:spacing w:beforeLines="0" w:afterLines="0"/>
        <w:ind w:left="0" w:leftChars="0" w:firstLine="640" w:firstLineChars="200"/>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在本协议期内，</w:t>
      </w:r>
      <w:r>
        <w:rPr>
          <w:rFonts w:hint="eastAsia" w:ascii="方正仿宋_GBK" w:hAnsi="方正仿宋_GBK" w:eastAsia="方正仿宋_GBK" w:cs="方正仿宋_GBK"/>
          <w:sz w:val="32"/>
          <w:szCs w:val="32"/>
          <w:highlight w:val="none"/>
          <w:lang w:val="en-US" w:eastAsia="zh-CN"/>
        </w:rPr>
        <w:t>如遇</w:t>
      </w:r>
      <w:r>
        <w:rPr>
          <w:rFonts w:hint="eastAsia" w:ascii="方正仿宋_GBK" w:hAnsi="方正仿宋_GBK" w:eastAsia="方正仿宋_GBK" w:cs="方正仿宋_GBK"/>
          <w:sz w:val="32"/>
          <w:szCs w:val="32"/>
          <w:highlight w:val="none"/>
        </w:rPr>
        <w:t>价格主管部门</w:t>
      </w:r>
      <w:r>
        <w:rPr>
          <w:rFonts w:hint="eastAsia" w:ascii="方正仿宋_GBK" w:hAnsi="方正仿宋_GBK" w:eastAsia="方正仿宋_GBK" w:cs="方正仿宋_GBK"/>
          <w:sz w:val="32"/>
          <w:szCs w:val="32"/>
          <w:highlight w:val="none"/>
          <w:lang w:val="en-US" w:eastAsia="zh-CN"/>
        </w:rPr>
        <w:t>政策调整</w:t>
      </w:r>
      <w:r>
        <w:rPr>
          <w:rFonts w:hint="eastAsia" w:ascii="方正仿宋_GBK" w:hAnsi="方正仿宋_GBK" w:eastAsia="方正仿宋_GBK" w:cs="方正仿宋_GBK"/>
          <w:sz w:val="32"/>
          <w:szCs w:val="32"/>
          <w:highlight w:val="none"/>
        </w:rPr>
        <w:t>，</w:t>
      </w:r>
      <w:r>
        <w:rPr>
          <w:rFonts w:hint="eastAsia" w:ascii="方正仿宋_GBK" w:hAnsi="方正仿宋_GBK" w:eastAsia="方正仿宋_GBK" w:cs="方正仿宋_GBK"/>
          <w:sz w:val="32"/>
          <w:szCs w:val="32"/>
          <w:highlight w:val="none"/>
          <w:lang w:val="en-US" w:eastAsia="zh-CN"/>
        </w:rPr>
        <w:t>从其规定。</w:t>
      </w:r>
    </w:p>
    <w:p w14:paraId="6090E664">
      <w:pPr>
        <w:spacing w:beforeLines="0" w:afterLines="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（以下无正文）</w:t>
      </w:r>
    </w:p>
    <w:p w14:paraId="237800BC">
      <w:pPr>
        <w:spacing w:beforeLines="0" w:afterLines="0"/>
        <w:ind w:firstLine="0" w:firstLineChars="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p>
    <w:p w14:paraId="21B2148C">
      <w:pPr>
        <w:pStyle w:val="2"/>
        <w:rPr>
          <w:rFonts w:hint="eastAsia"/>
        </w:rPr>
      </w:pPr>
    </w:p>
    <w:p w14:paraId="2B135D61">
      <w:pPr>
        <w:pStyle w:val="2"/>
        <w:rPr>
          <w:rFonts w:hint="eastAsia"/>
        </w:rPr>
      </w:pPr>
    </w:p>
    <w:p w14:paraId="4CBC628B">
      <w:pPr>
        <w:spacing w:beforeLines="0" w:afterLines="0"/>
        <w:ind w:firstLine="0" w:firstLineChars="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甲方（盖章）：               乙方（盖章）：</w:t>
      </w:r>
    </w:p>
    <w:p w14:paraId="12EA4E88">
      <w:pPr>
        <w:spacing w:beforeLines="0" w:afterLines="0"/>
        <w:ind w:firstLine="0" w:firstLineChars="0"/>
        <w:rPr>
          <w:rFonts w:hint="eastAsia"/>
          <w:sz w:val="32"/>
          <w:szCs w:val="32"/>
        </w:rPr>
      </w:pPr>
      <w:r>
        <w:rPr>
          <w:rFonts w:hint="eastAsia"/>
          <w:sz w:val="32"/>
          <w:szCs w:val="32"/>
        </w:rPr>
        <w:t xml:space="preserve"> </w:t>
      </w:r>
    </w:p>
    <w:p w14:paraId="5DA99634">
      <w:pPr>
        <w:spacing w:beforeLines="0" w:afterLines="0"/>
        <w:ind w:firstLine="0" w:firstLineChars="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法定代表人/委托代理人：        法定代表人/委托代理人：</w:t>
      </w:r>
    </w:p>
    <w:p w14:paraId="6B630861">
      <w:pPr>
        <w:spacing w:beforeLines="0" w:afterLines="0"/>
        <w:ind w:firstLine="0" w:firstLineChars="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p>
    <w:p w14:paraId="0E6DFB26">
      <w:pPr>
        <w:spacing w:beforeLines="0" w:afterLines="0"/>
        <w:ind w:firstLine="0" w:firstLineChars="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签订日期：</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日   签订日期：</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日</w:t>
      </w:r>
    </w:p>
    <w:p w14:paraId="277E6EB4">
      <w:pPr>
        <w:spacing w:beforeLines="0" w:afterLines="0"/>
        <w:ind w:firstLine="0" w:firstLineChars="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p>
    <w:p w14:paraId="3416A47B">
      <w:pPr>
        <w:spacing w:beforeLines="0" w:afterLines="0"/>
        <w:ind w:firstLine="0" w:firstLineChars="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签订地点：</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 xml:space="preserve">     签订地点：</w:t>
      </w:r>
      <w:r>
        <w:rPr>
          <w:rFonts w:hint="eastAsia" w:ascii="方正仿宋_GBK" w:hAnsi="方正仿宋_GBK" w:eastAsia="方正仿宋_GBK" w:cs="方正仿宋_GBK"/>
          <w:sz w:val="32"/>
          <w:szCs w:val="32"/>
          <w:u w:val="single"/>
        </w:rPr>
        <w:t xml:space="preserve">                   </w:t>
      </w:r>
    </w:p>
    <w:p w14:paraId="31E94608">
      <w:pPr>
        <w:pStyle w:val="2"/>
        <w:rPr>
          <w:rFonts w:hint="default"/>
          <w:lang w:val="en-US"/>
        </w:rPr>
      </w:pPr>
    </w:p>
    <w:sectPr>
      <w:footerReference r:id="rId7" w:type="default"/>
      <w:pgSz w:w="12240" w:h="15840"/>
      <w:pgMar w:top="1440" w:right="1800" w:bottom="1440" w:left="1800" w:header="720" w:footer="720" w:gutter="0"/>
      <w:lnNumType w:countBy="0" w:distance="36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altName w:val="MT Extra"/>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Segoe UI Symbol"/>
    <w:panose1 w:val="05050102010706020507"/>
    <w:charset w:val="02"/>
    <w:family w:val="roman"/>
    <w:pitch w:val="default"/>
    <w:sig w:usb0="00000000" w:usb1="00000000" w:usb2="00000000" w:usb3="00000000" w:csb0="80000000" w:csb1="00000000"/>
  </w:font>
  <w:font w:name="Calibri">
    <w:panose1 w:val="020F07020304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方正仿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方正小标宋_GBK">
    <w:altName w:val="微软雅黑"/>
    <w:panose1 w:val="03000509000000000000"/>
    <w:charset w:val="86"/>
    <w:family w:val="script"/>
    <w:pitch w:val="default"/>
    <w:sig w:usb0="00000000" w:usb1="00000000" w:usb2="00000000" w:usb3="00000000" w:csb0="00040000" w:csb1="00000000"/>
  </w:font>
  <w:font w:name="MT Extra">
    <w:panose1 w:val="05050102010205020202"/>
    <w:charset w:val="00"/>
    <w:family w:val="auto"/>
    <w:pitch w:val="default"/>
    <w:sig w:usb0="80000000" w:usb1="00000000" w:usb2="00000000" w:usb3="00000000" w:csb0="00000000" w:csb1="00000000"/>
  </w:font>
  <w:font w:name="Kingsoft UE">
    <w:altName w:val="Courier New"/>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E0002AFF" w:usb1="C0007843" w:usb2="00000009" w:usb3="00000000" w:csb0="400001FF" w:csb1="FFFF0000"/>
  </w:font>
  <w:font w:name="Segoe UI Symbol">
    <w:panose1 w:val="020B0502040204020203"/>
    <w:charset w:val="00"/>
    <w:family w:val="auto"/>
    <w:pitch w:val="default"/>
    <w:sig w:usb0="8000006F" w:usb1="1200FBEF" w:usb2="0064C000" w:usb3="00000002"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E1CD76">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56EC35">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056EC35">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26E6A4">
    <w:pPr>
      <w:pStyle w:val="7"/>
      <w:spacing w:beforeLines="0" w:afterLines="0"/>
      <w:rPr>
        <w:rFonts w:hint="default"/>
        <w:sz w:val="18"/>
        <w:szCs w:val="24"/>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F97620">
                          <w:pPr>
                            <w:pStyle w:val="7"/>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5F97620">
                    <w:pPr>
                      <w:pStyle w:val="7"/>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511ED5">
    <w:pPr>
      <w:pStyle w:val="7"/>
      <w:spacing w:beforeLines="0" w:afterLines="0"/>
      <w:rPr>
        <w:rFonts w:hint="default"/>
        <w:sz w:val="18"/>
        <w:szCs w:val="24"/>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9047C1">
                          <w:pPr>
                            <w:pStyle w:val="7"/>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B9047C1">
                    <w:pPr>
                      <w:pStyle w:val="7"/>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AE3B56"/>
    <w:multiLevelType w:val="multilevel"/>
    <w:tmpl w:val="83AE3B56"/>
    <w:lvl w:ilvl="0" w:tentative="0">
      <w:start w:val="5"/>
      <w:numFmt w:val="decimal"/>
      <w:lvlText w:val="%1."/>
      <w:lvlJc w:val="left"/>
      <w:pPr>
        <w:ind w:left="425" w:hanging="425"/>
      </w:pPr>
      <w:rPr>
        <w:rFonts w:hint="default"/>
      </w:rPr>
    </w:lvl>
    <w:lvl w:ilvl="1" w:tentative="0">
      <w:start w:val="1"/>
      <w:numFmt w:val="decimal"/>
      <w:lvlText w:val="%1.%2"/>
      <w:lvlJc w:val="left"/>
      <w:pPr>
        <w:ind w:left="567" w:hanging="567"/>
      </w:pPr>
      <w:rPr>
        <w:rFonts w:hint="default"/>
        <w:strike w:val="0"/>
        <w:dstrike w:val="0"/>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
    <w:nsid w:val="BBC5E6CE"/>
    <w:multiLevelType w:val="singleLevel"/>
    <w:tmpl w:val="BBC5E6CE"/>
    <w:lvl w:ilvl="0" w:tentative="0">
      <w:start w:val="2"/>
      <w:numFmt w:val="decimal"/>
      <w:suff w:val="nothing"/>
      <w:lvlText w:val="（%1）"/>
      <w:lvlJc w:val="left"/>
    </w:lvl>
  </w:abstractNum>
  <w:abstractNum w:abstractNumId="2">
    <w:nsid w:val="C3AFB57A"/>
    <w:multiLevelType w:val="multilevel"/>
    <w:tmpl w:val="C3AFB57A"/>
    <w:lvl w:ilvl="0" w:tentative="0">
      <w:start w:val="4"/>
      <w:numFmt w:val="decimal"/>
      <w:lvlText w:val="%1."/>
      <w:lvlJc w:val="left"/>
      <w:pPr>
        <w:ind w:left="425" w:hanging="425"/>
      </w:pPr>
      <w:rPr>
        <w:rFonts w:hint="default"/>
      </w:rPr>
    </w:lvl>
    <w:lvl w:ilvl="1" w:tentative="0">
      <w:start w:val="1"/>
      <w:numFmt w:val="decimal"/>
      <w:lvlText w:val="%1.%2"/>
      <w:lvlJc w:val="left"/>
      <w:pPr>
        <w:ind w:left="567" w:hanging="567"/>
      </w:pPr>
      <w:rPr>
        <w:rFonts w:hint="default"/>
        <w:strike w:val="0"/>
        <w:dstrike w:val="0"/>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3">
    <w:nsid w:val="DB05B90A"/>
    <w:multiLevelType w:val="multilevel"/>
    <w:tmpl w:val="DB05B90A"/>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4">
    <w:nsid w:val="F7909869"/>
    <w:multiLevelType w:val="multilevel"/>
    <w:tmpl w:val="F7909869"/>
    <w:lvl w:ilvl="0" w:tentative="0">
      <w:start w:val="3"/>
      <w:numFmt w:val="decimal"/>
      <w:lvlText w:val="%1."/>
      <w:lvlJc w:val="left"/>
      <w:pPr>
        <w:ind w:left="425" w:hanging="425"/>
      </w:pPr>
      <w:rPr>
        <w:rFonts w:hint="default"/>
      </w:rPr>
    </w:lvl>
    <w:lvl w:ilvl="1" w:tentative="0">
      <w:start w:val="1"/>
      <w:numFmt w:val="decimal"/>
      <w:lvlText w:val="%1.%2"/>
      <w:lvlJc w:val="left"/>
      <w:pPr>
        <w:ind w:left="567" w:hanging="567"/>
      </w:pPr>
      <w:rPr>
        <w:rFonts w:hint="default"/>
        <w:strike w:val="0"/>
        <w:dstrike w:val="0"/>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5">
    <w:nsid w:val="0C519B5F"/>
    <w:multiLevelType w:val="singleLevel"/>
    <w:tmpl w:val="0C519B5F"/>
    <w:lvl w:ilvl="0" w:tentative="0">
      <w:start w:val="1"/>
      <w:numFmt w:val="chineseCounting"/>
      <w:suff w:val="space"/>
      <w:lvlText w:val="第%1条"/>
      <w:lvlJc w:val="left"/>
      <w:pPr>
        <w:tabs>
          <w:tab w:val="left" w:pos="0"/>
        </w:tabs>
        <w:ind w:left="-10"/>
      </w:pPr>
      <w:rPr>
        <w:rFonts w:hint="eastAsia" w:ascii="仿宋_GB2312" w:hAnsi="仿宋_GB2312" w:eastAsia="仿宋_GB2312" w:cs="仿宋_GB2312"/>
        <w:b/>
        <w:bCs/>
      </w:rPr>
    </w:lvl>
  </w:abstractNum>
  <w:abstractNum w:abstractNumId="6">
    <w:nsid w:val="15CF8AD5"/>
    <w:multiLevelType w:val="multilevel"/>
    <w:tmpl w:val="15CF8AD5"/>
    <w:lvl w:ilvl="0" w:tentative="0">
      <w:start w:val="7"/>
      <w:numFmt w:val="decimal"/>
      <w:lvlText w:val="%1."/>
      <w:lvlJc w:val="left"/>
      <w:pPr>
        <w:ind w:left="425" w:hanging="425"/>
      </w:pPr>
      <w:rPr>
        <w:rFonts w:hint="default"/>
      </w:rPr>
    </w:lvl>
    <w:lvl w:ilvl="1" w:tentative="0">
      <w:start w:val="1"/>
      <w:numFmt w:val="decimal"/>
      <w:lvlText w:val="%1.%2"/>
      <w:lvlJc w:val="left"/>
      <w:pPr>
        <w:ind w:left="567" w:hanging="567"/>
      </w:pPr>
      <w:rPr>
        <w:rFonts w:hint="default"/>
        <w:strike w:val="0"/>
        <w:dstrike w:val="0"/>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7">
    <w:nsid w:val="3B716100"/>
    <w:multiLevelType w:val="multilevel"/>
    <w:tmpl w:val="3B716100"/>
    <w:lvl w:ilvl="0" w:tentative="0">
      <w:start w:val="1"/>
      <w:numFmt w:val="chineseCounting"/>
      <w:suff w:val="nothing"/>
      <w:lvlText w:val="第%1章 "/>
      <w:lvlJc w:val="left"/>
      <w:pPr>
        <w:ind w:left="0" w:firstLine="402"/>
      </w:pPr>
      <w:rPr>
        <w:rFonts w:hint="eastAsia" w:ascii="黑体" w:hAnsi="黑体" w:eastAsia="黑体" w:cs="黑体"/>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8">
    <w:nsid w:val="61BDA5C1"/>
    <w:multiLevelType w:val="multilevel"/>
    <w:tmpl w:val="61BDA5C1"/>
    <w:lvl w:ilvl="0" w:tentative="0">
      <w:start w:val="2"/>
      <w:numFmt w:val="decimal"/>
      <w:lvlText w:val="%1."/>
      <w:lvlJc w:val="left"/>
      <w:pPr>
        <w:ind w:left="425" w:hanging="425"/>
      </w:pPr>
      <w:rPr>
        <w:rFonts w:hint="default"/>
      </w:rPr>
    </w:lvl>
    <w:lvl w:ilvl="1" w:tentative="0">
      <w:start w:val="1"/>
      <w:numFmt w:val="decimal"/>
      <w:lvlText w:val="%1.%2"/>
      <w:lvlJc w:val="left"/>
      <w:pPr>
        <w:ind w:left="567" w:hanging="567"/>
      </w:pPr>
      <w:rPr>
        <w:rFonts w:hint="default"/>
        <w:strike w:val="0"/>
        <w:dstrike w:val="0"/>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9">
    <w:nsid w:val="79A7FF7A"/>
    <w:multiLevelType w:val="multilevel"/>
    <w:tmpl w:val="79A7FF7A"/>
    <w:lvl w:ilvl="0" w:tentative="0">
      <w:start w:val="6"/>
      <w:numFmt w:val="decimal"/>
      <w:lvlText w:val="%1."/>
      <w:lvlJc w:val="left"/>
      <w:pPr>
        <w:ind w:left="425" w:hanging="425"/>
      </w:pPr>
      <w:rPr>
        <w:rFonts w:hint="default"/>
      </w:rPr>
    </w:lvl>
    <w:lvl w:ilvl="1" w:tentative="0">
      <w:start w:val="1"/>
      <w:numFmt w:val="decimal"/>
      <w:lvlText w:val="%1.%2"/>
      <w:lvlJc w:val="left"/>
      <w:pPr>
        <w:ind w:left="567" w:hanging="567"/>
      </w:pPr>
      <w:rPr>
        <w:rFonts w:hint="default"/>
        <w:strike w:val="0"/>
        <w:dstrike w:val="0"/>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7"/>
  </w:num>
  <w:num w:numId="2">
    <w:abstractNumId w:val="5"/>
  </w:num>
  <w:num w:numId="3">
    <w:abstractNumId w:val="3"/>
  </w:num>
  <w:num w:numId="4">
    <w:abstractNumId w:val="8"/>
  </w:num>
  <w:num w:numId="5">
    <w:abstractNumId w:val="1"/>
  </w:num>
  <w:num w:numId="6">
    <w:abstractNumId w:val="4"/>
  </w:num>
  <w:num w:numId="7">
    <w:abstractNumId w:val="2"/>
  </w:num>
  <w:num w:numId="8">
    <w:abstractNumId w:val="0"/>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4E370C5"/>
    <w:rsid w:val="00032291"/>
    <w:rsid w:val="00172073"/>
    <w:rsid w:val="00365071"/>
    <w:rsid w:val="00461109"/>
    <w:rsid w:val="005E71A8"/>
    <w:rsid w:val="0075177B"/>
    <w:rsid w:val="007D7953"/>
    <w:rsid w:val="008070B9"/>
    <w:rsid w:val="00943F97"/>
    <w:rsid w:val="009571D5"/>
    <w:rsid w:val="00BB5BD6"/>
    <w:rsid w:val="00F346EE"/>
    <w:rsid w:val="0127005B"/>
    <w:rsid w:val="017323D6"/>
    <w:rsid w:val="02434501"/>
    <w:rsid w:val="02703FC0"/>
    <w:rsid w:val="02885DA0"/>
    <w:rsid w:val="03437D71"/>
    <w:rsid w:val="03501E75"/>
    <w:rsid w:val="03993A4F"/>
    <w:rsid w:val="03DE7FF2"/>
    <w:rsid w:val="045110DC"/>
    <w:rsid w:val="04BC0EF4"/>
    <w:rsid w:val="052C1B0C"/>
    <w:rsid w:val="0554660A"/>
    <w:rsid w:val="05AE6A3E"/>
    <w:rsid w:val="0644137F"/>
    <w:rsid w:val="0659481B"/>
    <w:rsid w:val="06EA1D97"/>
    <w:rsid w:val="081C5EF2"/>
    <w:rsid w:val="08FA1EC9"/>
    <w:rsid w:val="09E4092A"/>
    <w:rsid w:val="0A633848"/>
    <w:rsid w:val="0A946935"/>
    <w:rsid w:val="0AA430DE"/>
    <w:rsid w:val="0B4B4F62"/>
    <w:rsid w:val="0B4C3BD3"/>
    <w:rsid w:val="0BDF7AD2"/>
    <w:rsid w:val="0C264442"/>
    <w:rsid w:val="0C2E03F5"/>
    <w:rsid w:val="0D4238C6"/>
    <w:rsid w:val="0F946F1E"/>
    <w:rsid w:val="109F5B4E"/>
    <w:rsid w:val="110711BC"/>
    <w:rsid w:val="11523BAB"/>
    <w:rsid w:val="11FA4DEE"/>
    <w:rsid w:val="125F2180"/>
    <w:rsid w:val="12761D18"/>
    <w:rsid w:val="12CB3810"/>
    <w:rsid w:val="134724AD"/>
    <w:rsid w:val="135B5765"/>
    <w:rsid w:val="14627FE2"/>
    <w:rsid w:val="15257E0D"/>
    <w:rsid w:val="15561B0A"/>
    <w:rsid w:val="15792ADB"/>
    <w:rsid w:val="15F80A29"/>
    <w:rsid w:val="16BF119D"/>
    <w:rsid w:val="16EB2583"/>
    <w:rsid w:val="16EB272A"/>
    <w:rsid w:val="16F861BD"/>
    <w:rsid w:val="170313B6"/>
    <w:rsid w:val="17A3294E"/>
    <w:rsid w:val="17AF74D7"/>
    <w:rsid w:val="17BA640F"/>
    <w:rsid w:val="17BE7F28"/>
    <w:rsid w:val="1920708C"/>
    <w:rsid w:val="19886A61"/>
    <w:rsid w:val="19B94CC4"/>
    <w:rsid w:val="19DF783A"/>
    <w:rsid w:val="1A06509C"/>
    <w:rsid w:val="1A3873EF"/>
    <w:rsid w:val="1A4407AA"/>
    <w:rsid w:val="1A452F40"/>
    <w:rsid w:val="1A4B281D"/>
    <w:rsid w:val="1B484129"/>
    <w:rsid w:val="1B494D39"/>
    <w:rsid w:val="1B4A4DDC"/>
    <w:rsid w:val="1BBB47FF"/>
    <w:rsid w:val="1BC40B58"/>
    <w:rsid w:val="1C2A5B45"/>
    <w:rsid w:val="1C2B6810"/>
    <w:rsid w:val="1C3152AF"/>
    <w:rsid w:val="1C767278"/>
    <w:rsid w:val="1CA01244"/>
    <w:rsid w:val="1CC85AE1"/>
    <w:rsid w:val="1D3750A4"/>
    <w:rsid w:val="1D664D95"/>
    <w:rsid w:val="1D68774B"/>
    <w:rsid w:val="1DA668B2"/>
    <w:rsid w:val="1DD73D13"/>
    <w:rsid w:val="1DE93713"/>
    <w:rsid w:val="1E7F0598"/>
    <w:rsid w:val="1E880EA7"/>
    <w:rsid w:val="1EEA56C8"/>
    <w:rsid w:val="1EF94F89"/>
    <w:rsid w:val="1F0A3D6A"/>
    <w:rsid w:val="1F1F41F4"/>
    <w:rsid w:val="1F50717A"/>
    <w:rsid w:val="213276BA"/>
    <w:rsid w:val="216737F1"/>
    <w:rsid w:val="21854661"/>
    <w:rsid w:val="221E28E3"/>
    <w:rsid w:val="2284521D"/>
    <w:rsid w:val="22A73BB5"/>
    <w:rsid w:val="23340C7F"/>
    <w:rsid w:val="23472EF1"/>
    <w:rsid w:val="24010E97"/>
    <w:rsid w:val="24B55410"/>
    <w:rsid w:val="24DD5C1F"/>
    <w:rsid w:val="261C097B"/>
    <w:rsid w:val="263D5927"/>
    <w:rsid w:val="265A5B8C"/>
    <w:rsid w:val="271A002E"/>
    <w:rsid w:val="273D0090"/>
    <w:rsid w:val="27697705"/>
    <w:rsid w:val="27CC147B"/>
    <w:rsid w:val="27F6689C"/>
    <w:rsid w:val="288D206B"/>
    <w:rsid w:val="28942D57"/>
    <w:rsid w:val="289A591B"/>
    <w:rsid w:val="28B41FC2"/>
    <w:rsid w:val="28DF555F"/>
    <w:rsid w:val="28F72945"/>
    <w:rsid w:val="291C2C16"/>
    <w:rsid w:val="29E87CCF"/>
    <w:rsid w:val="2A4C7FC0"/>
    <w:rsid w:val="2AB54202"/>
    <w:rsid w:val="2ABA5BB3"/>
    <w:rsid w:val="2ABF3F12"/>
    <w:rsid w:val="2B531B5F"/>
    <w:rsid w:val="2B600314"/>
    <w:rsid w:val="2CB539BE"/>
    <w:rsid w:val="2CF85053"/>
    <w:rsid w:val="2D0A2E72"/>
    <w:rsid w:val="2D4C29F4"/>
    <w:rsid w:val="2DA11D00"/>
    <w:rsid w:val="2E064224"/>
    <w:rsid w:val="2E136AA5"/>
    <w:rsid w:val="2E9E7EAD"/>
    <w:rsid w:val="2EC6148C"/>
    <w:rsid w:val="2F5073C2"/>
    <w:rsid w:val="2F566C69"/>
    <w:rsid w:val="2F7351F1"/>
    <w:rsid w:val="2FE719B5"/>
    <w:rsid w:val="304C05D9"/>
    <w:rsid w:val="31725D63"/>
    <w:rsid w:val="31BD60A0"/>
    <w:rsid w:val="3262326A"/>
    <w:rsid w:val="3336796A"/>
    <w:rsid w:val="33700D43"/>
    <w:rsid w:val="341427C4"/>
    <w:rsid w:val="347310DF"/>
    <w:rsid w:val="34A95CF4"/>
    <w:rsid w:val="34E370C5"/>
    <w:rsid w:val="35D16D55"/>
    <w:rsid w:val="36BE4DC5"/>
    <w:rsid w:val="36C91572"/>
    <w:rsid w:val="379D30AE"/>
    <w:rsid w:val="38135086"/>
    <w:rsid w:val="382159CF"/>
    <w:rsid w:val="38B06889"/>
    <w:rsid w:val="396A45C3"/>
    <w:rsid w:val="39976AD5"/>
    <w:rsid w:val="399F68F6"/>
    <w:rsid w:val="39C4026E"/>
    <w:rsid w:val="39F06DAC"/>
    <w:rsid w:val="39F44F22"/>
    <w:rsid w:val="3B337E2C"/>
    <w:rsid w:val="3BA77F46"/>
    <w:rsid w:val="3BA94A60"/>
    <w:rsid w:val="3C9A5E19"/>
    <w:rsid w:val="3D603A04"/>
    <w:rsid w:val="3EF04B41"/>
    <w:rsid w:val="3F5770C9"/>
    <w:rsid w:val="3F8567BA"/>
    <w:rsid w:val="3F8B5A50"/>
    <w:rsid w:val="3F8F587F"/>
    <w:rsid w:val="3F9A32AD"/>
    <w:rsid w:val="400E2998"/>
    <w:rsid w:val="403B1C67"/>
    <w:rsid w:val="40541104"/>
    <w:rsid w:val="4069269E"/>
    <w:rsid w:val="40A86B13"/>
    <w:rsid w:val="41395D89"/>
    <w:rsid w:val="42DB59E2"/>
    <w:rsid w:val="42E60690"/>
    <w:rsid w:val="42F1009A"/>
    <w:rsid w:val="43D770E9"/>
    <w:rsid w:val="43D90FC0"/>
    <w:rsid w:val="43FF7959"/>
    <w:rsid w:val="44886119"/>
    <w:rsid w:val="44E915B2"/>
    <w:rsid w:val="451B1A78"/>
    <w:rsid w:val="453D0218"/>
    <w:rsid w:val="462A727C"/>
    <w:rsid w:val="46AE05A3"/>
    <w:rsid w:val="47331C9C"/>
    <w:rsid w:val="47370E35"/>
    <w:rsid w:val="47826A2A"/>
    <w:rsid w:val="47DE5C57"/>
    <w:rsid w:val="48015449"/>
    <w:rsid w:val="489A315D"/>
    <w:rsid w:val="49261804"/>
    <w:rsid w:val="497252F8"/>
    <w:rsid w:val="4A0A15C4"/>
    <w:rsid w:val="4A391054"/>
    <w:rsid w:val="4A45195C"/>
    <w:rsid w:val="4A5B3620"/>
    <w:rsid w:val="4ADC7FE0"/>
    <w:rsid w:val="4B6A1F7A"/>
    <w:rsid w:val="4B743F17"/>
    <w:rsid w:val="4B810C27"/>
    <w:rsid w:val="4B872275"/>
    <w:rsid w:val="4B9805B5"/>
    <w:rsid w:val="4C8C4B93"/>
    <w:rsid w:val="4D0357D2"/>
    <w:rsid w:val="4EED505F"/>
    <w:rsid w:val="50762EB8"/>
    <w:rsid w:val="514929CF"/>
    <w:rsid w:val="535C1DFF"/>
    <w:rsid w:val="537F02D1"/>
    <w:rsid w:val="53842EB3"/>
    <w:rsid w:val="53A35E64"/>
    <w:rsid w:val="53D713FB"/>
    <w:rsid w:val="54103099"/>
    <w:rsid w:val="54672294"/>
    <w:rsid w:val="5469019A"/>
    <w:rsid w:val="54EE571B"/>
    <w:rsid w:val="55511753"/>
    <w:rsid w:val="55980179"/>
    <w:rsid w:val="56F608D2"/>
    <w:rsid w:val="57186589"/>
    <w:rsid w:val="58156832"/>
    <w:rsid w:val="58346B20"/>
    <w:rsid w:val="58431F5A"/>
    <w:rsid w:val="58530075"/>
    <w:rsid w:val="58C030EE"/>
    <w:rsid w:val="58C82462"/>
    <w:rsid w:val="591F15CA"/>
    <w:rsid w:val="594022C9"/>
    <w:rsid w:val="594F713C"/>
    <w:rsid w:val="595B5258"/>
    <w:rsid w:val="59805264"/>
    <w:rsid w:val="59A414BF"/>
    <w:rsid w:val="5A042C9A"/>
    <w:rsid w:val="5B8800E6"/>
    <w:rsid w:val="5BA800EC"/>
    <w:rsid w:val="5BA92F62"/>
    <w:rsid w:val="5C0754A0"/>
    <w:rsid w:val="5C4856E9"/>
    <w:rsid w:val="5C9C1846"/>
    <w:rsid w:val="5D4E6CB0"/>
    <w:rsid w:val="5D947074"/>
    <w:rsid w:val="5F63692F"/>
    <w:rsid w:val="5FB1306B"/>
    <w:rsid w:val="5FD15191"/>
    <w:rsid w:val="604A0607"/>
    <w:rsid w:val="609676F6"/>
    <w:rsid w:val="631557D0"/>
    <w:rsid w:val="631660D6"/>
    <w:rsid w:val="63287A06"/>
    <w:rsid w:val="63363D21"/>
    <w:rsid w:val="638259C1"/>
    <w:rsid w:val="63BC19F8"/>
    <w:rsid w:val="64CD1FC7"/>
    <w:rsid w:val="65AF2A6B"/>
    <w:rsid w:val="65B243E4"/>
    <w:rsid w:val="65B566B6"/>
    <w:rsid w:val="66E17EDE"/>
    <w:rsid w:val="67685040"/>
    <w:rsid w:val="67A77039"/>
    <w:rsid w:val="67FB4551"/>
    <w:rsid w:val="68C20AD4"/>
    <w:rsid w:val="69287D9F"/>
    <w:rsid w:val="695C103E"/>
    <w:rsid w:val="6B0562A4"/>
    <w:rsid w:val="6B2A6627"/>
    <w:rsid w:val="6B4A6F94"/>
    <w:rsid w:val="6C2E2E69"/>
    <w:rsid w:val="6C7A4762"/>
    <w:rsid w:val="6DBA6924"/>
    <w:rsid w:val="6DF004EC"/>
    <w:rsid w:val="6E89657C"/>
    <w:rsid w:val="6F566494"/>
    <w:rsid w:val="6FAC1B5D"/>
    <w:rsid w:val="711D2C22"/>
    <w:rsid w:val="71945268"/>
    <w:rsid w:val="722E2168"/>
    <w:rsid w:val="728C62FC"/>
    <w:rsid w:val="72C0173A"/>
    <w:rsid w:val="72C47A42"/>
    <w:rsid w:val="72D5001D"/>
    <w:rsid w:val="72E71DE2"/>
    <w:rsid w:val="745C765C"/>
    <w:rsid w:val="75B973C2"/>
    <w:rsid w:val="76432582"/>
    <w:rsid w:val="76A9408B"/>
    <w:rsid w:val="76DF0815"/>
    <w:rsid w:val="773106E6"/>
    <w:rsid w:val="77A13B08"/>
    <w:rsid w:val="77CA2AA6"/>
    <w:rsid w:val="78E144F6"/>
    <w:rsid w:val="79C31852"/>
    <w:rsid w:val="7AB4051D"/>
    <w:rsid w:val="7AD6660B"/>
    <w:rsid w:val="7B7A5896"/>
    <w:rsid w:val="7C3D47EC"/>
    <w:rsid w:val="7CB54B1E"/>
    <w:rsid w:val="7D3E580B"/>
    <w:rsid w:val="7D58764C"/>
    <w:rsid w:val="7DCE7A03"/>
    <w:rsid w:val="7E6B5B70"/>
    <w:rsid w:val="7EDE6967"/>
    <w:rsid w:val="7F274A6F"/>
    <w:rsid w:val="7F415BBA"/>
    <w:rsid w:val="7F7D45B6"/>
    <w:rsid w:val="7FAF608A"/>
    <w:rsid w:val="BE8F33E5"/>
    <w:rsid w:val="FBE409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after="160" w:line="560" w:lineRule="exact"/>
      <w:jc w:val="both"/>
      <w:textAlignment w:val="baseline"/>
    </w:pPr>
    <w:rPr>
      <w:rFonts w:ascii="仿宋_GB2312" w:hAnsi="仿宋_GB2312" w:eastAsia="仿宋_GB2312" w:cs="仿宋_GB2312"/>
      <w:sz w:val="32"/>
      <w:lang w:val="en-US" w:eastAsia="zh-CN" w:bidi="ar-SA"/>
    </w:rPr>
  </w:style>
  <w:style w:type="paragraph" w:styleId="3">
    <w:name w:val="heading 1"/>
    <w:basedOn w:val="1"/>
    <w:next w:val="4"/>
    <w:unhideWhenUsed/>
    <w:qFormat/>
    <w:uiPriority w:val="0"/>
    <w:pPr>
      <w:widowControl/>
      <w:spacing w:before="100" w:beforeLines="0" w:beforeAutospacing="1" w:after="100" w:afterLines="0" w:afterAutospacing="1"/>
      <w:jc w:val="left"/>
      <w:outlineLvl w:val="0"/>
    </w:pPr>
    <w:rPr>
      <w:rFonts w:hint="default" w:ascii="Arial Unicode MS" w:hAnsi="Arial Unicode MS" w:eastAsia="Arial Unicode MS"/>
      <w:b/>
      <w:color w:val="000000"/>
      <w:kern w:val="36"/>
      <w:sz w:val="48"/>
      <w:szCs w:val="24"/>
    </w:rPr>
  </w:style>
  <w:style w:type="paragraph" w:styleId="5">
    <w:name w:val="heading 4"/>
    <w:basedOn w:val="1"/>
    <w:next w:val="1"/>
    <w:qFormat/>
    <w:uiPriority w:val="0"/>
    <w:pPr>
      <w:keepNext/>
      <w:keepLines/>
      <w:snapToGrid w:val="0"/>
      <w:outlineLvl w:val="3"/>
    </w:pPr>
    <w:rPr>
      <w:rFonts w:ascii="方正仿宋_GBK" w:hAnsi="方正仿宋_GBK" w:eastAsia="方正仿宋_GBK"/>
      <w:b/>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rFonts w:ascii="Times New Roman" w:hAnsi="Times New Roman"/>
    </w:rPr>
  </w:style>
  <w:style w:type="paragraph" w:styleId="4">
    <w:name w:val="No Spacing"/>
    <w:unhideWhenUsed/>
    <w:qFormat/>
    <w:uiPriority w:val="1"/>
    <w:pPr>
      <w:widowControl w:val="0"/>
      <w:spacing w:beforeLines="0" w:afterLines="0"/>
      <w:ind w:firstLine="200" w:firstLineChars="200"/>
      <w:jc w:val="both"/>
    </w:pPr>
    <w:rPr>
      <w:rFonts w:hint="eastAsia" w:ascii="方正仿宋_GBK" w:hAnsi="方正仿宋_GBK" w:eastAsia="方正仿宋_GBK" w:cs="Times New Roman"/>
      <w:kern w:val="2"/>
      <w:sz w:val="32"/>
      <w:szCs w:val="22"/>
      <w:lang w:val="en-US" w:eastAsia="zh-CN" w:bidi="ar-SA"/>
    </w:rPr>
  </w:style>
  <w:style w:type="paragraph" w:styleId="6">
    <w:name w:val="annotation text"/>
    <w:basedOn w:val="1"/>
    <w:qFormat/>
    <w:uiPriority w:val="0"/>
    <w:pPr>
      <w:jc w:val="left"/>
    </w:p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annotation reference"/>
    <w:basedOn w:val="11"/>
    <w:qFormat/>
    <w:uiPriority w:val="0"/>
    <w:rPr>
      <w:sz w:val="21"/>
      <w:szCs w:val="21"/>
    </w:rPr>
  </w:style>
  <w:style w:type="paragraph" w:customStyle="1" w:styleId="13">
    <w:name w:val="二级标题"/>
    <w:basedOn w:val="1"/>
    <w:next w:val="14"/>
    <w:qFormat/>
    <w:uiPriority w:val="0"/>
    <w:pPr>
      <w:ind w:firstLine="420" w:firstLineChars="200"/>
    </w:pPr>
    <w:rPr>
      <w:rFonts w:hint="eastAsia" w:ascii="Times New Roman" w:hAnsi="Times New Roman" w:eastAsia="楷体_GB2312" w:cs="楷体_GB2312"/>
    </w:rPr>
  </w:style>
  <w:style w:type="paragraph" w:customStyle="1" w:styleId="14">
    <w:name w:val="公文正文"/>
    <w:basedOn w:val="1"/>
    <w:qFormat/>
    <w:uiPriority w:val="0"/>
    <w:pPr>
      <w:ind w:firstLine="420" w:firstLineChars="200"/>
    </w:pPr>
    <w:rPr>
      <w:rFonts w:ascii="Times New Roman" w:hAnsi="Times New Roman"/>
    </w:rPr>
  </w:style>
  <w:style w:type="character" w:customStyle="1" w:styleId="15">
    <w:name w:val="font61"/>
    <w:basedOn w:val="11"/>
    <w:qFormat/>
    <w:uiPriority w:val="0"/>
    <w:rPr>
      <w:rFonts w:hint="eastAsia" w:ascii="宋体" w:hAnsi="宋体" w:eastAsia="宋体" w:cs="宋体"/>
      <w:color w:val="000000"/>
      <w:sz w:val="22"/>
      <w:szCs w:val="22"/>
      <w:u w:val="none"/>
    </w:rPr>
  </w:style>
  <w:style w:type="character" w:customStyle="1" w:styleId="16">
    <w:name w:val="font21"/>
    <w:basedOn w:val="11"/>
    <w:qFormat/>
    <w:uiPriority w:val="0"/>
    <w:rPr>
      <w:rFonts w:hint="default" w:ascii="Arial Narrow" w:hAnsi="Arial Narrow" w:eastAsia="Arial Narrow" w:cs="Arial Narrow"/>
      <w:color w:val="000000"/>
      <w:sz w:val="22"/>
      <w:szCs w:val="22"/>
      <w:u w:val="none"/>
    </w:rPr>
  </w:style>
  <w:style w:type="paragraph" w:customStyle="1" w:styleId="17">
    <w:name w:val="Revision"/>
    <w:hidden/>
    <w:unhideWhenUsed/>
    <w:qFormat/>
    <w:uiPriority w:val="99"/>
    <w:pPr>
      <w:spacing w:after="0" w:line="240" w:lineRule="auto"/>
    </w:pPr>
    <w:rPr>
      <w:rFonts w:ascii="仿宋_GB2312" w:hAnsi="仿宋_GB2312" w:eastAsia="仿宋_GB2312" w:cs="仿宋_GB2312"/>
      <w:sz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585b0fc4-2cfd-4347-bab4-b075e0e39727</errorID>
      <errorWord>总述</errorWord>
      <group>L1_Word</group>
      <groupName>字词问题</groupName>
      <ability>L2_Typo</ability>
      <abilityName>字词错误</abilityName>
      <candidateList>
        <item>综述</item>
      </candidateList>
      <explain/>
      <paraID>75EF4B15</paraID>
      <start>0</start>
      <end>2</end>
      <status>unmodified</status>
      <modifiedWord/>
      <trackRevisions>false</trackRevisions>
    </reviewItem>
    <reviewItem>
      <errorID>a6ff8944-72f2-44fc-9856-d5bc47833169</errorID>
      <errorWord>，</errorWord>
      <group>L1_Word</group>
      <groupName>字词问题</groupName>
      <ability>L2_Typo</ability>
      <abilityName>字词错误</abilityName>
      <candidateList>
        <item>，在</item>
      </candidateList>
      <explain/>
      <paraID>6E087BCF</paraID>
      <start>11</start>
      <end>12</end>
      <status>unmodified</status>
      <modifiedWord/>
      <trackRevisions>false</trackRevisions>
    </reviewItem>
    <reviewItem>
      <errorID>254356be-72ed-445c-a1d3-c45a25c2a0a8</errorID>
      <errorWord>；未</errorWord>
      <group>L1_Word</group>
      <groupName>字词问题</groupName>
      <ability>L2_Typo</ability>
      <abilityName>字词错误</abilityName>
      <candidateList>
        <item>；</item>
      </candidateList>
      <explain/>
      <paraID>704E8E4B</paraID>
      <start>48</start>
      <end>50</end>
      <status>unmodified</status>
      <modifiedWord/>
      <trackRevisions>false</trackRevisions>
    </reviewItem>
    <reviewItem>
      <errorID>cfc0eb24-9c4c-4be3-ab41-211349c38b36</errorID>
      <errorWord>规定的</errorWord>
      <group>L1_Word</group>
      <groupName>字词问题</groupName>
      <ability>L2_Typo</ability>
      <abilityName>字词错误</abilityName>
      <candidateList>
        <item>规定</item>
      </candidateList>
      <explain>❶〈动〉对某一事物做出关于方式、方法或数量、质量的决定：～产品的质量标准｜不得超过～的日期。❷〈名〉所规定的内容：关于下岗职工的安排问题，上级已经有了新的～。</explain>
      <paraID>4DA9FDB3</paraID>
      <start>110</start>
      <end>113</end>
      <status>unmodified</status>
      <modifiedWord/>
      <trackRevisions>false</trackRevisions>
    </reviewItem>
    <reviewItem>
      <errorID>b787f2d5-c1ec-412e-ad36-7912944add52</errorID>
      <errorWord>；未</errorWord>
      <group>L1_Word</group>
      <groupName>字词问题</groupName>
      <ability>L2_Typo</ability>
      <abilityName>字词错误</abilityName>
      <candidateList>
        <item>；</item>
      </candidateList>
      <explain/>
      <paraID>5FE4F29E</paraID>
      <start>60</start>
      <end>62</end>
      <status>unmodified</status>
      <modifiedWord/>
      <trackRevisions>false</trackRevisions>
    </reviewItem>
    <reviewItem>
      <errorID>4f690cb2-85d0-41ec-aa21-cbbda6739e29</errorID>
      <errorWord>其它</errorWord>
      <group>L1_Word</group>
      <groupName>字词问题</groupName>
      <ability>L2_Alias</ability>
      <abilityName>也作/曾用词</abilityName>
      <candidateList>
        <item>其他</item>
      </candidateList>
      <explain>词汇[其它]为不规范表述或旧称，其规范书面表述为[其他]。</explain>
      <paraID>5A471788</paraID>
      <start>10</start>
      <end>12</end>
      <status>modified</status>
      <modifiedWord>其他</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bfaa76c-9a00-4bf1-8e3d-8923ab48e257}">
  <ds:schemaRefs/>
</ds:datastoreItem>
</file>

<file path=docProps/app.xml><?xml version="1.0" encoding="utf-8"?>
<Properties xmlns="http://schemas.openxmlformats.org/officeDocument/2006/extended-properties" xmlns:vt="http://schemas.openxmlformats.org/officeDocument/2006/docPropsVTypes">
  <Template>Normal.dotm</Template>
  <Pages>15</Pages>
  <Words>3172</Words>
  <Characters>3273</Characters>
  <Lines>122</Lines>
  <Paragraphs>84</Paragraphs>
  <TotalTime>0</TotalTime>
  <ScaleCrop>false</ScaleCrop>
  <LinksUpToDate>false</LinksUpToDate>
  <CharactersWithSpaces>3440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2025-07-29T03:43:00Z</dcterms:created>
  <dc:creator>王奖</dc:creator>
  <cp:lastModifiedBy>小强～</cp:lastModifiedBy>
  <cp:lastPrinted>2025-10-15T00:59:00Z</cp:lastPrinted>
  <dcterms:modified xsi:type="dcterms:W3CDTF">2025-11-04T07:38:08Z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824950D388D043839FDF74D5EE72C6D8_13</vt:lpwstr>
  </property>
  <property fmtid="{D5CDD505-2E9C-101B-9397-08002B2CF9AE}" pid="4" name="KSOTemplateDocerSaveRecord">
    <vt:lpwstr>eyJoZGlkIjoiNDE5MzBjOTM0ZGE4Yzc0MzYwZTFmOThiNWE1ZDhiNjQiLCJ1c2VySWQiOiI1NzU1ODY4ODIifQ==</vt:lpwstr>
  </property>
</Properties>
</file>