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C3263">
      <w:pPr>
        <w:adjustRightInd w:val="0"/>
        <w:snapToGrid w:val="0"/>
        <w:spacing w:line="580" w:lineRule="exact"/>
        <w:jc w:val="left"/>
        <w:rPr>
          <w:rFonts w:hint="eastAsia" w:ascii="仿宋_GB2312" w:eastAsia="仿宋_GB2312"/>
          <w:color w:val="000000" w:themeColor="text1"/>
          <w:sz w:val="32"/>
          <w:szCs w:val="32"/>
          <w14:textFill>
            <w14:solidFill>
              <w14:schemeClr w14:val="tx1"/>
            </w14:solidFill>
          </w14:textFill>
        </w:rPr>
      </w:pPr>
      <w:bookmarkStart w:id="0" w:name="_GoBack"/>
      <w:r>
        <w:rPr>
          <w:rFonts w:hint="eastAsia" w:ascii="黑体" w:hAnsi="黑体" w:eastAsia="黑体" w:cs="黑体"/>
          <w:sz w:val="32"/>
          <w:szCs w:val="32"/>
          <w:lang w:val="en-US" w:eastAsia="zh-CN"/>
        </w:rPr>
        <w:t>附件2</w:t>
      </w:r>
    </w:p>
    <w:p w14:paraId="516AC19A">
      <w:pPr>
        <w:adjustRightInd w:val="0"/>
        <w:snapToGrid w:val="0"/>
        <w:spacing w:line="58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青海省新能源存量项目机制电价实施细则</w:t>
      </w:r>
    </w:p>
    <w:bookmarkEnd w:id="0"/>
    <w:p w14:paraId="4EAB52E2">
      <w:pPr>
        <w:pStyle w:val="6"/>
        <w:spacing w:after="0" w:line="576" w:lineRule="exact"/>
        <w:ind w:left="0"/>
        <w:contextualSpacing w:val="0"/>
        <w:jc w:val="center"/>
        <w:rPr>
          <w:rFonts w:ascii="黑体" w:hAnsi="黑体" w:eastAsia="黑体"/>
          <w:color w:val="000000" w:themeColor="text1"/>
          <w:sz w:val="32"/>
          <w:szCs w:val="32"/>
          <w14:textFill>
            <w14:solidFill>
              <w14:schemeClr w14:val="tx1"/>
            </w14:solidFill>
          </w14:textFill>
        </w:rPr>
      </w:pPr>
    </w:p>
    <w:p w14:paraId="0FF0F372">
      <w:pPr>
        <w:pStyle w:val="6"/>
        <w:spacing w:after="0" w:line="576" w:lineRule="exact"/>
        <w:ind w:left="0"/>
        <w:contextualSpacing w:val="0"/>
        <w:jc w:val="center"/>
        <w:rPr>
          <w:rFonts w:hint="eastAsia"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第一章</w:t>
      </w:r>
      <w:r>
        <w:rPr>
          <w:rFonts w:hint="eastAsia" w:ascii="黑体" w:hAnsi="黑体" w:eastAsia="黑体"/>
          <w:color w:val="000000" w:themeColor="text1"/>
          <w:sz w:val="32"/>
          <w:szCs w:val="32"/>
          <w14:textFill>
            <w14:solidFill>
              <w14:schemeClr w14:val="tx1"/>
            </w14:solidFill>
          </w14:textFill>
        </w:rPr>
        <w:t xml:space="preserve">  总则</w:t>
      </w:r>
    </w:p>
    <w:p w14:paraId="79ADB61A">
      <w:pPr>
        <w:pStyle w:val="6"/>
        <w:keepNext w:val="0"/>
        <w:keepLines w:val="0"/>
        <w:pageBreakBefore w:val="0"/>
        <w:widowControl w:val="0"/>
        <w:kinsoku/>
        <w:wordWrap/>
        <w:overflowPunct/>
        <w:topLinePunct w:val="0"/>
        <w:autoSpaceDE/>
        <w:autoSpaceDN/>
        <w:bidi w:val="0"/>
        <w:adjustRightInd/>
        <w:snapToGrid/>
        <w:spacing w:after="0" w:line="576" w:lineRule="exact"/>
        <w:ind w:left="0" w:firstLine="643" w:firstLineChars="200"/>
        <w:contextualSpacing w:val="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第一条【制定依据】</w:t>
      </w:r>
      <w:r>
        <w:rPr>
          <w:rFonts w:hint="eastAsia" w:ascii="仿宋_GB2312" w:hAnsi="仿宋_GB2312" w:eastAsia="仿宋_GB2312" w:cs="仿宋_GB2312"/>
          <w:color w:val="000000" w:themeColor="text1"/>
          <w:sz w:val="32"/>
          <w:szCs w:val="32"/>
          <w14:textFill>
            <w14:solidFill>
              <w14:schemeClr w14:val="tx1"/>
            </w14:solidFill>
          </w14:textFill>
        </w:rPr>
        <w:t>为平稳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有序推进新能源</w:t>
      </w:r>
      <w:r>
        <w:rPr>
          <w:rFonts w:hint="eastAsia" w:ascii="仿宋_GB2312" w:hAnsi="仿宋_GB2312" w:eastAsia="仿宋_GB2312" w:cs="仿宋_GB2312"/>
          <w:color w:val="000000" w:themeColor="text1"/>
          <w:sz w:val="32"/>
          <w:szCs w:val="32"/>
          <w14:textFill>
            <w14:solidFill>
              <w14:schemeClr w14:val="tx1"/>
            </w14:solidFill>
          </w14:textFill>
        </w:rPr>
        <w:t>存量项目上网电价市场化改革，根据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省发展改革委、国家能源局西北监管局、省能源局</w:t>
      </w:r>
      <w:r>
        <w:rPr>
          <w:rFonts w:hint="eastAsia" w:ascii="仿宋_GB2312" w:hAnsi="仿宋_GB2312" w:eastAsia="仿宋_GB2312" w:cs="仿宋_GB2312"/>
          <w:color w:val="000000" w:themeColor="text1"/>
          <w:sz w:val="32"/>
          <w:szCs w:val="32"/>
          <w14:textFill>
            <w14:solidFill>
              <w14:schemeClr w14:val="tx1"/>
            </w14:solidFill>
          </w14:textFill>
        </w:rPr>
        <w:t>《关于印发&lt;青海省深化新能源上网电价市场化改革实施方案&gt;的通知》(青发改价格〔2025〕   号)等文件要求，结合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省情</w:t>
      </w:r>
      <w:r>
        <w:rPr>
          <w:rFonts w:hint="eastAsia" w:ascii="仿宋_GB2312" w:hAnsi="仿宋_GB2312" w:eastAsia="仿宋_GB2312" w:cs="仿宋_GB2312"/>
          <w:color w:val="000000" w:themeColor="text1"/>
          <w:sz w:val="32"/>
          <w:szCs w:val="32"/>
          <w14:textFill>
            <w14:solidFill>
              <w14:schemeClr w14:val="tx1"/>
            </w14:solidFill>
          </w14:textFill>
        </w:rPr>
        <w:t>实际，制定本细则。</w:t>
      </w:r>
    </w:p>
    <w:p w14:paraId="018B8F8B">
      <w:pPr>
        <w:pStyle w:val="6"/>
        <w:keepNext w:val="0"/>
        <w:keepLines w:val="0"/>
        <w:pageBreakBefore w:val="0"/>
        <w:widowControl w:val="0"/>
        <w:kinsoku/>
        <w:wordWrap/>
        <w:overflowPunct/>
        <w:topLinePunct w:val="0"/>
        <w:autoSpaceDE/>
        <w:autoSpaceDN/>
        <w:bidi w:val="0"/>
        <w:adjustRightInd/>
        <w:snapToGrid/>
        <w:spacing w:after="0" w:line="576" w:lineRule="exact"/>
        <w:ind w:left="0" w:firstLine="643" w:firstLineChars="200"/>
        <w:contextualSpacing w:val="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第二条【机制电量】</w:t>
      </w:r>
      <w:r>
        <w:rPr>
          <w:rFonts w:hint="eastAsia" w:ascii="仿宋_GB2312" w:hAnsi="仿宋_GB2312" w:eastAsia="仿宋_GB2312" w:cs="仿宋_GB2312"/>
          <w:color w:val="000000" w:themeColor="text1"/>
          <w:sz w:val="32"/>
          <w:szCs w:val="32"/>
          <w14:textFill>
            <w14:solidFill>
              <w14:schemeClr w14:val="tx1"/>
            </w14:solidFill>
          </w14:textFill>
        </w:rPr>
        <w:t>扶贫、特许经营权、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金太阳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、分布式光伏、分散式风电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光热发电</w:t>
      </w:r>
      <w:r>
        <w:rPr>
          <w:rFonts w:hint="eastAsia" w:ascii="仿宋_GB2312" w:hAnsi="仿宋_GB2312" w:eastAsia="仿宋_GB2312" w:cs="仿宋_GB2312"/>
          <w:color w:val="000000" w:themeColor="text1"/>
          <w:sz w:val="32"/>
          <w:szCs w:val="32"/>
          <w14:textFill>
            <w14:solidFill>
              <w14:schemeClr w14:val="tx1"/>
            </w14:solidFill>
          </w14:textFill>
        </w:rPr>
        <w:t>上网电量全额纳入机制电量范围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光伏应用</w:t>
      </w:r>
      <w:r>
        <w:rPr>
          <w:rFonts w:hint="eastAsia" w:ascii="仿宋_GB2312" w:hAnsi="仿宋_GB2312" w:eastAsia="仿宋_GB2312" w:cs="仿宋_GB2312"/>
          <w:color w:val="000000" w:themeColor="text1"/>
          <w:sz w:val="32"/>
          <w:szCs w:val="32"/>
          <w:lang w:eastAsia="zh-CN"/>
          <w14:textFill>
            <w14:solidFill>
              <w14:schemeClr w14:val="tx1"/>
            </w14:solidFill>
          </w14:textFill>
        </w:rPr>
        <w:t>“领跑者”</w:t>
      </w:r>
      <w:r>
        <w:rPr>
          <w:rFonts w:hint="eastAsia" w:ascii="仿宋_GB2312" w:hAnsi="仿宋_GB2312" w:eastAsia="仿宋_GB2312" w:cs="仿宋_GB2312"/>
          <w:color w:val="000000" w:themeColor="text1"/>
          <w:sz w:val="32"/>
          <w:szCs w:val="32"/>
          <w14:textFill>
            <w14:solidFill>
              <w14:schemeClr w14:val="tx1"/>
            </w14:solidFill>
          </w14:textFill>
        </w:rPr>
        <w:t>项目按照年发电利用小时数1500小时纳入机制电量范围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bidi="ar"/>
        </w:rPr>
        <w:t>2021年1月1日以后投产的</w:t>
      </w:r>
      <w:r>
        <w:rPr>
          <w:rFonts w:hint="eastAsia" w:ascii="仿宋_GB2312" w:hAnsi="仿宋_GB2312" w:eastAsia="仿宋_GB2312" w:cs="仿宋_GB2312"/>
          <w:color w:val="000000" w:themeColor="text1"/>
          <w:sz w:val="32"/>
          <w:szCs w:val="32"/>
          <w14:textFill>
            <w14:solidFill>
              <w14:schemeClr w14:val="tx1"/>
            </w14:solidFill>
          </w14:textFill>
        </w:rPr>
        <w:t>平价光伏项目按装机容量等比例分配36亿千瓦时机制电量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平价风电项目按装机容量等比例分配5.1亿千瓦时机制电量。存量机制电量项目清单由省能源局会同省发展改革委确定。</w:t>
      </w:r>
    </w:p>
    <w:p w14:paraId="61A6B07E">
      <w:pPr>
        <w:pStyle w:val="6"/>
        <w:spacing w:after="0" w:line="576" w:lineRule="exact"/>
        <w:ind w:left="0" w:firstLine="643"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第三条【机制电价】</w:t>
      </w:r>
      <w:r>
        <w:rPr>
          <w:rFonts w:hint="eastAsia" w:ascii="仿宋_GB2312" w:hAnsi="仿宋_GB2312" w:eastAsia="仿宋_GB2312" w:cs="仿宋_GB2312"/>
          <w:color w:val="000000" w:themeColor="text1"/>
          <w:sz w:val="32"/>
          <w:szCs w:val="32"/>
          <w14:textFill>
            <w14:solidFill>
              <w14:schemeClr w14:val="tx1"/>
            </w14:solidFill>
          </w14:textFill>
        </w:rPr>
        <w:t>扶贫、特许经营权、光伏应用</w:t>
      </w:r>
      <w:r>
        <w:rPr>
          <w:rFonts w:hint="eastAsia" w:ascii="仿宋_GB2312" w:hAnsi="仿宋_GB2312" w:eastAsia="仿宋_GB2312" w:cs="仿宋_GB2312"/>
          <w:color w:val="000000" w:themeColor="text1"/>
          <w:sz w:val="32"/>
          <w:szCs w:val="32"/>
          <w:lang w:eastAsia="zh-CN"/>
          <w14:textFill>
            <w14:solidFill>
              <w14:schemeClr w14:val="tx1"/>
            </w14:solidFill>
          </w14:textFill>
        </w:rPr>
        <w:t>“领跑者”</w:t>
      </w:r>
      <w:r>
        <w:rPr>
          <w:rFonts w:hint="eastAsia" w:ascii="仿宋_GB2312" w:hAnsi="仿宋_GB2312" w:eastAsia="仿宋_GB2312" w:cs="仿宋_GB2312"/>
          <w:color w:val="000000" w:themeColor="text1"/>
          <w:sz w:val="32"/>
          <w:szCs w:val="32"/>
          <w14:textFill>
            <w14:solidFill>
              <w14:schemeClr w14:val="tx1"/>
            </w14:solidFill>
          </w14:textFill>
        </w:rPr>
        <w:t>、分散式风电、平价项目机制电价水平按照我省新能源补贴基准价0.2277元/千瓦时执行；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金太阳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项目按照我省脱硫燃煤机组标杆电价0.3127元/千瓦时执行；分布式光伏、光热项目按照现行价格政策执行。</w:t>
      </w:r>
    </w:p>
    <w:p w14:paraId="43DCAE52">
      <w:pPr>
        <w:pStyle w:val="6"/>
        <w:spacing w:after="0" w:line="576" w:lineRule="exact"/>
        <w:ind w:left="0" w:firstLine="643"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第四条【执行期限】</w:t>
      </w:r>
      <w:r>
        <w:rPr>
          <w:rFonts w:hint="eastAsia" w:ascii="仿宋_GB2312" w:hAnsi="仿宋_GB2312" w:eastAsia="仿宋_GB2312" w:cs="仿宋_GB2312"/>
          <w:color w:val="000000" w:themeColor="text1"/>
          <w:sz w:val="32"/>
          <w:szCs w:val="32"/>
          <w14:textFill>
            <w14:solidFill>
              <w14:schemeClr w14:val="tx1"/>
            </w14:solidFill>
          </w14:textFill>
        </w:rPr>
        <w:t>扶贫、特许经营权、光伏应用</w:t>
      </w:r>
      <w:r>
        <w:rPr>
          <w:rFonts w:hint="eastAsia" w:ascii="仿宋_GB2312" w:hAnsi="仿宋_GB2312" w:eastAsia="仿宋_GB2312" w:cs="仿宋_GB2312"/>
          <w:color w:val="000000" w:themeColor="text1"/>
          <w:sz w:val="32"/>
          <w:szCs w:val="32"/>
          <w:lang w:eastAsia="zh-CN"/>
          <w14:textFill>
            <w14:solidFill>
              <w14:schemeClr w14:val="tx1"/>
            </w14:solidFill>
          </w14:textFill>
        </w:rPr>
        <w:t>“领跑者”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金太阳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、分布式光伏、分散式风电项目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按照政策开始执行时剩余全生命周期合理利用小时数对应年份与投产满20年对应年份两者较早者确定。平价项目按照投产满12年确定。执行期限到期后，新能源项目对应的机制电量规模自动从全省机制电量规模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移出</w:t>
      </w:r>
      <w:r>
        <w:rPr>
          <w:rFonts w:hint="eastAsia" w:ascii="仿宋_GB2312" w:hAnsi="仿宋_GB2312" w:eastAsia="仿宋_GB2312" w:cs="仿宋_GB2312"/>
          <w:color w:val="000000" w:themeColor="text1"/>
          <w:sz w:val="32"/>
          <w:szCs w:val="32"/>
          <w14:textFill>
            <w14:solidFill>
              <w14:schemeClr w14:val="tx1"/>
            </w14:solidFill>
          </w14:textFill>
        </w:rPr>
        <w:t>。</w:t>
      </w:r>
    </w:p>
    <w:p w14:paraId="24221CE8">
      <w:pPr>
        <w:pStyle w:val="6"/>
        <w:spacing w:after="0" w:line="576" w:lineRule="exact"/>
        <w:ind w:left="0" w:firstLine="640"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风电、光伏项目全生命周期合理利用小时数分别为36000小时（风电四类资源区）、32000小时（光伏一类资源区）、26000小时（光伏二类资源区）。其中国家确定的光伏</w:t>
      </w:r>
      <w:r>
        <w:rPr>
          <w:rFonts w:hint="eastAsia" w:ascii="仿宋_GB2312" w:hAnsi="仿宋_GB2312" w:eastAsia="仿宋_GB2312" w:cs="仿宋_GB2312"/>
          <w:color w:val="000000" w:themeColor="text1"/>
          <w:sz w:val="32"/>
          <w:szCs w:val="32"/>
          <w:lang w:eastAsia="zh-CN"/>
          <w14:textFill>
            <w14:solidFill>
              <w14:schemeClr w14:val="tx1"/>
            </w14:solidFill>
          </w14:textFill>
        </w:rPr>
        <w:t>“领跑者”</w:t>
      </w:r>
      <w:r>
        <w:rPr>
          <w:rFonts w:hint="eastAsia" w:ascii="仿宋_GB2312" w:hAnsi="仿宋_GB2312" w:eastAsia="仿宋_GB2312" w:cs="仿宋_GB2312"/>
          <w:color w:val="000000" w:themeColor="text1"/>
          <w:sz w:val="32"/>
          <w:szCs w:val="32"/>
          <w14:textFill>
            <w14:solidFill>
              <w14:schemeClr w14:val="tx1"/>
            </w14:solidFill>
          </w14:textFill>
        </w:rPr>
        <w:t>基地项目全生命周期合理利用小时数在上述基础上增加10%，即35200小时（光伏一类资源区）。</w:t>
      </w:r>
    </w:p>
    <w:p w14:paraId="469FA97D">
      <w:pPr>
        <w:pStyle w:val="6"/>
        <w:spacing w:after="0" w:line="576" w:lineRule="exact"/>
        <w:ind w:left="0" w:firstLine="640"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额上网的存量新能源项目，已利用的小时数=并网以来全部上网电量÷装机容量。执行机制电价前剩余利用小时数=全生命周期合理利用小时数-已利用小时数。执行机制电价后，剩余利用小时数=执行机制电价前剩余利用小时数-（机制电价执行期内全部上网电量÷装机容量）。</w:t>
      </w:r>
    </w:p>
    <w:p w14:paraId="5AB9FA12">
      <w:pPr>
        <w:pStyle w:val="6"/>
        <w:spacing w:after="0" w:line="576" w:lineRule="exact"/>
        <w:ind w:left="0" w:firstLine="640"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余电上网的存量新能源项目，相关利用小时数均按全发电量与装机容量计算确定。</w:t>
      </w:r>
    </w:p>
    <w:p w14:paraId="64554981">
      <w:pPr>
        <w:pStyle w:val="6"/>
        <w:numPr>
          <w:ilvl w:val="0"/>
          <w:numId w:val="1"/>
        </w:numPr>
        <w:spacing w:after="0" w:line="576" w:lineRule="exact"/>
        <w:ind w:left="0"/>
        <w:contextualSpacing w:val="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实施流程</w:t>
      </w:r>
    </w:p>
    <w:p w14:paraId="49767B5D">
      <w:pPr>
        <w:pStyle w:val="6"/>
        <w:spacing w:after="0" w:line="576" w:lineRule="exact"/>
        <w:ind w:left="0" w:firstLine="643"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第五条【流程标准】</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确认</w:t>
      </w:r>
      <w:r>
        <w:rPr>
          <w:rFonts w:hint="eastAsia" w:ascii="仿宋_GB2312" w:hAnsi="仿宋_GB2312" w:eastAsia="仿宋_GB2312" w:cs="仿宋_GB2312"/>
          <w:color w:val="000000" w:themeColor="text1"/>
          <w:sz w:val="32"/>
          <w:szCs w:val="32"/>
          <w14:textFill>
            <w14:solidFill>
              <w14:schemeClr w14:val="tx1"/>
            </w14:solidFill>
          </w14:textFill>
        </w:rPr>
        <w:t>-公示-签约-结算”标准化流程开展工作，确保公开、公平、公正。</w:t>
      </w:r>
    </w:p>
    <w:p w14:paraId="6E293E5F">
      <w:pPr>
        <w:pStyle w:val="6"/>
        <w:spacing w:after="0" w:line="576" w:lineRule="exact"/>
        <w:ind w:left="0" w:firstLine="643"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第六条【信息确认】</w:t>
      </w:r>
      <w:r>
        <w:rPr>
          <w:rFonts w:hint="eastAsia" w:ascii="仿宋_GB2312" w:hAnsi="仿宋_GB2312" w:eastAsia="仿宋_GB2312" w:cs="仿宋_GB2312"/>
          <w:color w:val="000000" w:themeColor="text1"/>
          <w:sz w:val="32"/>
          <w:szCs w:val="32"/>
          <w14:textFill>
            <w14:solidFill>
              <w14:schemeClr w14:val="tx1"/>
            </w14:solidFill>
          </w14:textFill>
        </w:rPr>
        <w:t>电网企业收集存量项目</w:t>
      </w:r>
      <w:r>
        <w:rPr>
          <w:rFonts w:hint="eastAsia" w:ascii="仿宋_GB2312" w:hAnsi="仿宋_GB2312" w:eastAsia="仿宋_GB2312" w:cs="仿宋_GB2312"/>
          <w:sz w:val="32"/>
          <w:szCs w:val="32"/>
          <w:lang w:val="en-US" w:eastAsia="zh-CN" w:bidi="ar"/>
        </w:rPr>
        <w:t>市场</w:t>
      </w:r>
      <w:r>
        <w:rPr>
          <w:rFonts w:hint="eastAsia" w:ascii="仿宋_GB2312" w:hAnsi="仿宋_GB2312" w:eastAsia="仿宋_GB2312" w:cs="仿宋_GB2312"/>
          <w:sz w:val="32"/>
          <w:szCs w:val="32"/>
          <w:lang w:bidi="ar"/>
        </w:rPr>
        <w:t>主体</w:t>
      </w:r>
      <w:r>
        <w:rPr>
          <w:rFonts w:hint="eastAsia" w:ascii="仿宋_GB2312" w:hAnsi="仿宋_GB2312" w:eastAsia="仿宋_GB2312" w:cs="仿宋_GB2312"/>
          <w:color w:val="000000" w:themeColor="text1"/>
          <w:sz w:val="32"/>
          <w:szCs w:val="32"/>
          <w14:textFill>
            <w14:solidFill>
              <w14:schemeClr w14:val="tx1"/>
            </w14:solidFill>
          </w14:textFill>
        </w:rPr>
        <w:t>信息，并组织</w:t>
      </w:r>
      <w:r>
        <w:rPr>
          <w:rFonts w:hint="eastAsia" w:ascii="仿宋_GB2312" w:hAnsi="仿宋_GB2312" w:eastAsia="仿宋_GB2312" w:cs="仿宋_GB2312"/>
          <w:sz w:val="32"/>
          <w:szCs w:val="32"/>
          <w:lang w:val="en-US" w:eastAsia="zh-CN" w:bidi="ar"/>
        </w:rPr>
        <w:t>各相关市场</w:t>
      </w:r>
      <w:r>
        <w:rPr>
          <w:rFonts w:hint="eastAsia" w:ascii="仿宋_GB2312" w:hAnsi="仿宋_GB2312" w:eastAsia="仿宋_GB2312" w:cs="仿宋_GB2312"/>
          <w:sz w:val="32"/>
          <w:szCs w:val="32"/>
          <w:lang w:bidi="ar"/>
        </w:rPr>
        <w:t>主体</w:t>
      </w:r>
      <w:r>
        <w:rPr>
          <w:rFonts w:hint="eastAsia" w:ascii="仿宋_GB2312" w:hAnsi="仿宋_GB2312" w:eastAsia="仿宋_GB2312" w:cs="仿宋_GB2312"/>
          <w:color w:val="000000" w:themeColor="text1"/>
          <w:sz w:val="32"/>
          <w:szCs w:val="32"/>
          <w14:textFill>
            <w14:solidFill>
              <w14:schemeClr w14:val="tx1"/>
            </w14:solidFill>
          </w14:textFill>
        </w:rPr>
        <w:t>在规定期限内就相关信息进行修改、完善、确认，确保信息完整、准确。</w:t>
      </w:r>
    </w:p>
    <w:p w14:paraId="0C7C0113">
      <w:pPr>
        <w:pStyle w:val="6"/>
        <w:spacing w:after="0" w:line="576" w:lineRule="exact"/>
        <w:ind w:left="0" w:firstLine="643"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第七条【审核公示】</w:t>
      </w:r>
      <w:r>
        <w:rPr>
          <w:rFonts w:hint="eastAsia" w:ascii="仿宋_GB2312" w:hAnsi="仿宋_GB2312" w:eastAsia="仿宋_GB2312" w:cs="仿宋_GB2312"/>
          <w:color w:val="000000" w:themeColor="text1"/>
          <w:sz w:val="32"/>
          <w:szCs w:val="32"/>
          <w14:textFill>
            <w14:solidFill>
              <w14:schemeClr w14:val="tx1"/>
            </w14:solidFill>
          </w14:textFill>
        </w:rPr>
        <w:t>信息确认结束后，经省发展改革委审核、批准，电网企业对纳入机制的项目和电量进行公示，公示期5个工作日，对公示结果有异议的，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在公示期内向省发展改革委提出，并提供相关证明材料。公示期内未提出异议的，视为认可审核结果。</w:t>
      </w:r>
    </w:p>
    <w:p w14:paraId="0C084945">
      <w:pPr>
        <w:pStyle w:val="6"/>
        <w:spacing w:after="0" w:line="576" w:lineRule="exact"/>
        <w:ind w:left="0" w:firstLine="643"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第八条【协议签订】</w:t>
      </w:r>
      <w:r>
        <w:rPr>
          <w:rFonts w:hint="eastAsia" w:ascii="仿宋_GB2312" w:hAnsi="仿宋_GB2312" w:eastAsia="仿宋_GB2312" w:cs="仿宋_GB2312"/>
          <w:color w:val="000000" w:themeColor="text1"/>
          <w:sz w:val="32"/>
          <w:szCs w:val="32"/>
          <w14:textFill>
            <w14:solidFill>
              <w14:schemeClr w14:val="tx1"/>
            </w14:solidFill>
          </w14:textFill>
        </w:rPr>
        <w:t>公示完成后，由电网企业择期组织经营主体在相关信息平台签订差价协议。经营主体在协议模板基础上确认项目机制电量、机制电价等信息，并按要求填报机制电量执行方式。电网企业复核、确认后完成协议签订。公示项目逾期未签订协议的，视为自愿参与。</w:t>
      </w:r>
    </w:p>
    <w:p w14:paraId="579E2B14">
      <w:pPr>
        <w:pStyle w:val="6"/>
        <w:spacing w:after="0" w:line="576" w:lineRule="exact"/>
        <w:ind w:left="0" w:firstLine="643"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第九条【结算方式】</w:t>
      </w:r>
      <w:r>
        <w:rPr>
          <w:rFonts w:hint="eastAsia" w:ascii="仿宋_GB2312" w:hAnsi="仿宋_GB2312" w:eastAsia="仿宋_GB2312" w:cs="仿宋_GB2312"/>
          <w:color w:val="000000" w:themeColor="text1"/>
          <w:sz w:val="32"/>
          <w:szCs w:val="32"/>
          <w14:textFill>
            <w14:solidFill>
              <w14:schemeClr w14:val="tx1"/>
            </w14:solidFill>
          </w14:textFill>
        </w:rPr>
        <w:t>按照《青海省新能源可持续发展价格结算机制实施细则》相关要求执行。</w:t>
      </w:r>
    </w:p>
    <w:p w14:paraId="37D91C0C">
      <w:pPr>
        <w:pStyle w:val="6"/>
        <w:spacing w:after="0" w:line="576" w:lineRule="exact"/>
        <w:ind w:left="0"/>
        <w:contextualSpacing w:val="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保障机制</w:t>
      </w:r>
    </w:p>
    <w:p w14:paraId="6A782475">
      <w:pPr>
        <w:pStyle w:val="6"/>
        <w:spacing w:after="0" w:line="576" w:lineRule="exact"/>
        <w:ind w:left="0" w:firstLine="643" w:firstLineChars="200"/>
        <w:contextualSpacing w:val="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b/>
          <w:bCs/>
          <w:sz w:val="32"/>
          <w:szCs w:val="32"/>
        </w:rPr>
        <w:t xml:space="preserve">第十条 </w:t>
      </w:r>
      <w:r>
        <w:rPr>
          <w:rFonts w:hint="eastAsia" w:ascii="仿宋_GB2312" w:hAnsi="仿宋_GB2312" w:eastAsia="仿宋_GB2312" w:cs="仿宋_GB2312"/>
          <w:color w:val="000000" w:themeColor="text1"/>
          <w:sz w:val="32"/>
          <w:szCs w:val="32"/>
          <w14:textFill>
            <w14:solidFill>
              <w14:schemeClr w14:val="tx1"/>
            </w14:solidFill>
          </w14:textFill>
        </w:rPr>
        <w:t>存量项目经营主体应严格遵守国家相关规定及电力市场规则，积极主动参与市场竞争，自觉维护市场秩序，依法合规参与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电力市场交易</w:t>
      </w:r>
      <w:r>
        <w:rPr>
          <w:rFonts w:hint="eastAsia" w:ascii="仿宋_GB2312" w:hAnsi="仿宋_GB2312" w:eastAsia="仿宋_GB2312" w:cs="仿宋_GB2312"/>
          <w:color w:val="000000" w:themeColor="text1"/>
          <w:sz w:val="32"/>
          <w:szCs w:val="32"/>
          <w14:textFill>
            <w14:solidFill>
              <w14:schemeClr w14:val="tx1"/>
            </w14:solidFill>
          </w14:textFill>
        </w:rPr>
        <w:t>。电网企业要严守保密规定，做好组织工作。</w:t>
      </w:r>
    </w:p>
    <w:p w14:paraId="79168957">
      <w:pPr>
        <w:pStyle w:val="6"/>
        <w:spacing w:after="0" w:line="576" w:lineRule="exact"/>
        <w:ind w:left="0"/>
        <w:contextualSpacing w:val="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附则</w:t>
      </w:r>
    </w:p>
    <w:p w14:paraId="66BB83CD">
      <w:pPr>
        <w:spacing w:after="0" w:line="576" w:lineRule="exact"/>
        <w:ind w:firstLine="643" w:firstLineChars="200"/>
        <w:rPr>
          <w:rFonts w:hint="eastAsia" w:ascii="楷体" w:hAnsi="楷体" w:eastAsia="楷体" w:cs="楷体"/>
          <w:b/>
          <w:bCs/>
          <w:kern w:val="0"/>
          <w:sz w:val="32"/>
          <w:szCs w:val="32"/>
          <w:shd w:val="clear" w:color="auto" w:fill="FFFFFF"/>
          <w14:ligatures w14:val="none"/>
        </w:rPr>
      </w:pPr>
      <w:r>
        <w:rPr>
          <w:rFonts w:hint="eastAsia" w:ascii="楷体" w:hAnsi="楷体" w:eastAsia="楷体" w:cs="楷体"/>
          <w:b/>
          <w:bCs/>
          <w:kern w:val="0"/>
          <w:sz w:val="32"/>
          <w:szCs w:val="32"/>
          <w:shd w:val="clear" w:color="auto" w:fill="FFFFFF"/>
          <w14:ligatures w14:val="none"/>
        </w:rPr>
        <w:t>第十</w:t>
      </w:r>
      <w:r>
        <w:rPr>
          <w:rFonts w:hint="eastAsia" w:ascii="楷体" w:hAnsi="楷体" w:eastAsia="楷体" w:cs="楷体"/>
          <w:b/>
          <w:bCs/>
          <w:kern w:val="0"/>
          <w:sz w:val="32"/>
          <w:szCs w:val="32"/>
          <w:shd w:val="clear" w:color="auto" w:fill="FFFFFF"/>
          <w:lang w:val="en-US" w:eastAsia="zh-CN"/>
          <w14:ligatures w14:val="none"/>
        </w:rPr>
        <w:t>一</w:t>
      </w:r>
      <w:r>
        <w:rPr>
          <w:rFonts w:hint="eastAsia" w:ascii="楷体" w:hAnsi="楷体" w:eastAsia="楷体" w:cs="楷体"/>
          <w:b/>
          <w:bCs/>
          <w:kern w:val="0"/>
          <w:sz w:val="32"/>
          <w:szCs w:val="32"/>
          <w:shd w:val="clear" w:color="auto" w:fill="FFFFFF"/>
          <w14:ligatures w14:val="none"/>
        </w:rPr>
        <w:t>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本细则相关规定</w:t>
      </w:r>
      <w:r>
        <w:rPr>
          <w:rFonts w:hint="eastAsia" w:ascii="仿宋_GB2312" w:hAnsi="仿宋_GB2312" w:eastAsia="仿宋_GB2312" w:cs="仿宋_GB2312"/>
          <w:sz w:val="32"/>
          <w:szCs w:val="32"/>
          <w:lang w:bidi="ar"/>
        </w:rPr>
        <w:t>如遇国家政策调整，按国家政策执行。</w:t>
      </w:r>
      <w:r>
        <w:rPr>
          <w:rFonts w:hint="eastAsia" w:ascii="仿宋_GB2312" w:hAnsi="仿宋_GB2312" w:eastAsia="仿宋_GB2312" w:cs="仿宋_GB2312"/>
          <w:sz w:val="32"/>
          <w:szCs w:val="32"/>
          <w:shd w:val="clear" w:color="auto" w:fill="FFFFFF"/>
        </w:rPr>
        <w:t>省内现行政策规定与本细则不符的，以本细则为准。</w:t>
      </w:r>
    </w:p>
    <w:p w14:paraId="7D368731">
      <w:pPr>
        <w:spacing w:after="0" w:line="576" w:lineRule="exact"/>
        <w:ind w:firstLine="643" w:firstLineChars="200"/>
        <w:rPr>
          <w:rFonts w:hint="eastAsia" w:ascii="仿宋_GB2312" w:hAnsi="仿宋_GB2312" w:eastAsia="仿宋_GB2312" w:cs="仿宋_GB2312"/>
          <w:sz w:val="32"/>
          <w:szCs w:val="32"/>
          <w:lang w:bidi="ar"/>
        </w:rPr>
      </w:pPr>
      <w:r>
        <w:rPr>
          <w:rFonts w:hint="eastAsia" w:ascii="楷体" w:hAnsi="楷体" w:eastAsia="楷体" w:cs="楷体"/>
          <w:b/>
          <w:bCs/>
          <w:kern w:val="0"/>
          <w:sz w:val="32"/>
          <w:szCs w:val="32"/>
          <w:shd w:val="clear" w:color="auto" w:fill="FFFFFF"/>
          <w14:ligatures w14:val="none"/>
        </w:rPr>
        <w:t>第十</w:t>
      </w:r>
      <w:r>
        <w:rPr>
          <w:rFonts w:hint="eastAsia" w:ascii="楷体" w:hAnsi="楷体" w:eastAsia="楷体" w:cs="楷体"/>
          <w:b/>
          <w:bCs/>
          <w:kern w:val="0"/>
          <w:sz w:val="32"/>
          <w:szCs w:val="32"/>
          <w:shd w:val="clear" w:color="auto" w:fill="FFFFFF"/>
          <w:lang w:val="en-US" w:eastAsia="zh-CN"/>
          <w14:ligatures w14:val="none"/>
        </w:rPr>
        <w:t>二</w:t>
      </w:r>
      <w:r>
        <w:rPr>
          <w:rFonts w:hint="eastAsia" w:ascii="楷体" w:hAnsi="楷体" w:eastAsia="楷体" w:cs="楷体"/>
          <w:b/>
          <w:bCs/>
          <w:kern w:val="0"/>
          <w:sz w:val="32"/>
          <w:szCs w:val="32"/>
          <w:shd w:val="clear" w:color="auto" w:fill="FFFFFF"/>
          <w14:ligatures w14:val="none"/>
        </w:rPr>
        <w:t xml:space="preserve">条 </w:t>
      </w:r>
      <w:r>
        <w:rPr>
          <w:rFonts w:hint="eastAsia" w:ascii="仿宋_GB2312" w:hAnsi="仿宋_GB2312" w:eastAsia="仿宋_GB2312" w:cs="仿宋_GB2312"/>
          <w:sz w:val="32"/>
          <w:szCs w:val="32"/>
          <w:lang w:bidi="ar"/>
        </w:rPr>
        <w:t>本细则由省发展改革委、国家能源局西北监管局</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省能源局按职</w:t>
      </w:r>
      <w:r>
        <w:rPr>
          <w:rFonts w:hint="eastAsia" w:ascii="仿宋_GB2312" w:hAnsi="仿宋_GB2312" w:eastAsia="仿宋_GB2312" w:cs="仿宋_GB2312"/>
          <w:sz w:val="32"/>
          <w:szCs w:val="32"/>
          <w:lang w:val="en-US" w:eastAsia="zh-CN" w:bidi="ar"/>
        </w:rPr>
        <w:t>责</w:t>
      </w:r>
      <w:r>
        <w:rPr>
          <w:rFonts w:hint="eastAsia" w:ascii="仿宋_GB2312" w:hAnsi="仿宋_GB2312" w:eastAsia="仿宋_GB2312" w:cs="仿宋_GB2312"/>
          <w:sz w:val="32"/>
          <w:szCs w:val="32"/>
          <w:lang w:bidi="ar"/>
        </w:rPr>
        <w:t>分工解释。</w:t>
      </w:r>
    </w:p>
    <w:p w14:paraId="2C7C24B3">
      <w:pPr>
        <w:spacing w:after="0" w:line="576" w:lineRule="exact"/>
        <w:ind w:firstLine="643" w:firstLineChars="200"/>
        <w:rPr>
          <w:rFonts w:hint="eastAsia" w:ascii="仿宋_GB2312" w:hAnsi="仿宋_GB2312" w:eastAsia="仿宋_GB2312" w:cs="仿宋_GB2312"/>
          <w:sz w:val="32"/>
          <w:szCs w:val="32"/>
          <w:shd w:val="clear" w:color="auto" w:fill="FFFFFF"/>
        </w:rPr>
      </w:pPr>
      <w:r>
        <w:rPr>
          <w:rFonts w:hint="eastAsia" w:ascii="楷体" w:hAnsi="楷体" w:eastAsia="楷体" w:cs="楷体"/>
          <w:b/>
          <w:bCs/>
          <w:kern w:val="0"/>
          <w:sz w:val="32"/>
          <w:szCs w:val="32"/>
          <w:shd w:val="clear" w:color="auto" w:fill="FFFFFF"/>
          <w14:ligatures w14:val="none"/>
        </w:rPr>
        <w:t>第十</w:t>
      </w:r>
      <w:r>
        <w:rPr>
          <w:rFonts w:hint="eastAsia" w:ascii="楷体" w:hAnsi="楷体" w:eastAsia="楷体" w:cs="楷体"/>
          <w:b/>
          <w:bCs/>
          <w:kern w:val="0"/>
          <w:sz w:val="32"/>
          <w:szCs w:val="32"/>
          <w:shd w:val="clear" w:color="auto" w:fill="FFFFFF"/>
          <w:lang w:val="en-US" w:eastAsia="zh-CN"/>
          <w14:ligatures w14:val="none"/>
        </w:rPr>
        <w:t>三</w:t>
      </w:r>
      <w:r>
        <w:rPr>
          <w:rFonts w:hint="eastAsia" w:ascii="楷体" w:hAnsi="楷体" w:eastAsia="楷体" w:cs="楷体"/>
          <w:b/>
          <w:bCs/>
          <w:kern w:val="0"/>
          <w:sz w:val="32"/>
          <w:szCs w:val="32"/>
          <w:shd w:val="clear" w:color="auto" w:fill="FFFFFF"/>
          <w14:ligatures w14:val="none"/>
        </w:rPr>
        <w:t>条</w:t>
      </w:r>
      <w:r>
        <w:rPr>
          <w:rFonts w:hint="eastAsia" w:ascii="仿宋_GB2312" w:hAnsi="仿宋_GB2312" w:eastAsia="仿宋_GB2312" w:cs="仿宋_GB2312"/>
          <w:sz w:val="32"/>
          <w:szCs w:val="32"/>
          <w:shd w:val="clear" w:color="auto" w:fill="FFFFFF"/>
        </w:rPr>
        <w:t xml:space="preserve"> 本细则自2025年  月  日起施行。</w:t>
      </w:r>
    </w:p>
    <w:p w14:paraId="79C74A6D">
      <w:pPr>
        <w:pStyle w:val="6"/>
        <w:spacing w:after="0" w:line="576" w:lineRule="exact"/>
        <w:ind w:left="0" w:firstLine="640" w:firstLineChars="200"/>
        <w:contextualSpacing w:val="0"/>
        <w:rPr>
          <w:rFonts w:hint="eastAsia" w:ascii="仿宋_GB2312" w:hAnsi="仿宋_GB2312" w:eastAsia="仿宋_GB2312" w:cs="仿宋_GB2312"/>
          <w:color w:val="000000" w:themeColor="text1"/>
          <w:sz w:val="32"/>
          <w:szCs w:val="32"/>
          <w14:textFill>
            <w14:solidFill>
              <w14:schemeClr w14:val="tx1"/>
            </w14:solidFill>
          </w14:textFill>
        </w:rPr>
      </w:pPr>
    </w:p>
    <w:p w14:paraId="43B02C9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国标小标宋">
    <w:altName w:val="宋体"/>
    <w:panose1 w:val="02000500000000000000"/>
    <w:charset w:val="86"/>
    <w:family w:val="auto"/>
    <w:pitch w:val="default"/>
    <w:sig w:usb0="00000000" w:usb1="00000000" w:usb2="00000000"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61C8B"/>
    <w:multiLevelType w:val="singleLevel"/>
    <w:tmpl w:val="7E461C8B"/>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A7E81"/>
    <w:rsid w:val="645A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Body Text"/>
    <w:basedOn w:val="1"/>
    <w:next w:val="1"/>
    <w:qFormat/>
    <w:uiPriority w:val="0"/>
    <w:pPr>
      <w:ind w:left="40"/>
    </w:pPr>
    <w:rPr>
      <w:rFonts w:ascii="Calibri" w:hAnsi="Calibri" w:eastAsia="宋体" w:cs="Times New Roman"/>
      <w:sz w:val="18"/>
      <w:szCs w:val="18"/>
      <w:lang w:eastAsia="en-U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2025-09-08T15:23:00Z</dcterms:created>
  <dc:creator>nanpeng</dc:creator>
  <cp:lastModifiedBy>nanpeng</cp:lastModifiedBy>
  <dcterms:modified xsi:type="dcterms:W3CDTF">2025-09-08T15:26:16Z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649C90F10FD04E878E59E0C26D83EB27_11</vt:lpwstr>
  </property>
  <property fmtid="{D5CDD505-2E9C-101B-9397-08002B2CF9AE}" pid="4" name="KSOTemplateDocerSaveRecord">
    <vt:lpwstr>eyJoZGlkIjoiZTA4NzIyN2MxYTlmMzQ1NGE2MjU5NWRkMjhlOGMxYTAifQ==</vt:lpwstr>
  </property>
</Properties>
</file>