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EA4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0" w:name="_GoBack"/>
      <w:bookmarkEnd w:id="0"/>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fill="FFFFFF"/>
        </w:rPr>
        <w:t>贵州省风电光伏发电项目管理办法</w:t>
      </w:r>
    </w:p>
    <w:p w14:paraId="5D9F19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楷体" w:hAnsi="楷体" w:eastAsia="楷体" w:cs="楷体"/>
          <w:b w:val="0"/>
          <w:bCs w:val="0"/>
          <w:i w:val="0"/>
          <w:iCs w:val="0"/>
          <w:caps w:val="0"/>
          <w:color w:val="auto"/>
          <w:spacing w:val="0"/>
          <w:sz w:val="32"/>
          <w:szCs w:val="32"/>
          <w:highlight w:val="none"/>
          <w:shd w:val="clear" w:fill="FFFFFF"/>
          <w:lang w:eastAsia="zh-CN"/>
        </w:rPr>
      </w:pPr>
      <w:r>
        <w:rPr>
          <w:rStyle w:val="8"/>
          <w:rFonts w:hint="eastAsia" w:ascii="楷体" w:hAnsi="楷体" w:eastAsia="楷体" w:cs="楷体"/>
          <w:b w:val="0"/>
          <w:bCs w:val="0"/>
          <w:i w:val="0"/>
          <w:iCs w:val="0"/>
          <w:caps w:val="0"/>
          <w:color w:val="auto"/>
          <w:spacing w:val="0"/>
          <w:sz w:val="32"/>
          <w:szCs w:val="32"/>
          <w:highlight w:val="none"/>
          <w:shd w:val="clear" w:fill="FFFFFF"/>
          <w:lang w:eastAsia="zh-CN"/>
        </w:rPr>
        <w:t>（</w:t>
      </w:r>
      <w:r>
        <w:rPr>
          <w:rStyle w:val="8"/>
          <w:rFonts w:hint="eastAsia" w:ascii="楷体" w:hAnsi="楷体" w:eastAsia="楷体" w:cs="楷体"/>
          <w:b w:val="0"/>
          <w:bCs w:val="0"/>
          <w:i w:val="0"/>
          <w:iCs w:val="0"/>
          <w:caps w:val="0"/>
          <w:color w:val="auto"/>
          <w:spacing w:val="0"/>
          <w:sz w:val="32"/>
          <w:szCs w:val="32"/>
          <w:highlight w:val="none"/>
          <w:shd w:val="clear" w:fill="FFFFFF"/>
          <w:lang w:val="en-US" w:eastAsia="zh-CN"/>
        </w:rPr>
        <w:t>征求意见稿</w:t>
      </w:r>
      <w:r>
        <w:rPr>
          <w:rStyle w:val="8"/>
          <w:rFonts w:hint="eastAsia" w:ascii="楷体" w:hAnsi="楷体" w:eastAsia="楷体" w:cs="楷体"/>
          <w:b w:val="0"/>
          <w:bCs w:val="0"/>
          <w:i w:val="0"/>
          <w:iCs w:val="0"/>
          <w:caps w:val="0"/>
          <w:color w:val="auto"/>
          <w:spacing w:val="0"/>
          <w:sz w:val="32"/>
          <w:szCs w:val="32"/>
          <w:highlight w:val="none"/>
          <w:shd w:val="clear" w:fill="FFFFFF"/>
          <w:lang w:eastAsia="zh-CN"/>
        </w:rPr>
        <w:t>）</w:t>
      </w:r>
    </w:p>
    <w:p w14:paraId="0AFA0B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color w:val="auto"/>
          <w:spacing w:val="0"/>
          <w:sz w:val="31"/>
          <w:szCs w:val="31"/>
          <w:highlight w:val="none"/>
          <w:shd w:val="clear" w:fill="FFFFFF"/>
        </w:rPr>
      </w:pPr>
    </w:p>
    <w:p w14:paraId="0F1934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eastAsia" w:ascii="仿宋_GB2312" w:hAnsi="微软雅黑" w:eastAsia="仿宋_GB2312" w:cs="仿宋_GB2312"/>
          <w:b w:val="0"/>
          <w:bCs w:val="0"/>
          <w:i w:val="0"/>
          <w:iCs w:val="0"/>
          <w:caps w:val="0"/>
          <w:color w:val="auto"/>
          <w:spacing w:val="0"/>
          <w:sz w:val="32"/>
          <w:szCs w:val="32"/>
          <w:highlight w:val="none"/>
          <w:shd w:val="clear" w:fill="FFFFFF"/>
        </w:rPr>
      </w:pPr>
      <w:r>
        <w:rPr>
          <w:rFonts w:hint="eastAsia" w:ascii="黑体" w:hAnsi="宋体" w:eastAsia="黑体" w:cs="黑体"/>
          <w:b w:val="0"/>
          <w:bCs w:val="0"/>
          <w:i w:val="0"/>
          <w:iCs w:val="0"/>
          <w:caps w:val="0"/>
          <w:color w:val="auto"/>
          <w:spacing w:val="0"/>
          <w:sz w:val="32"/>
          <w:szCs w:val="32"/>
          <w:highlight w:val="none"/>
          <w:shd w:val="clear" w:fill="FFFFFF"/>
        </w:rPr>
        <w:t>第一章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总</w:t>
      </w:r>
      <w:r>
        <w:rPr>
          <w:rFonts w:hint="eastAsia" w:ascii="黑体" w:hAnsi="宋体" w:eastAsia="黑体" w:cs="黑体"/>
          <w:b w:val="0"/>
          <w:bCs w:val="0"/>
          <w:i w:val="0"/>
          <w:iCs w:val="0"/>
          <w:caps w:val="0"/>
          <w:color w:val="auto"/>
          <w:spacing w:val="0"/>
          <w:sz w:val="32"/>
          <w:szCs w:val="32"/>
          <w:highlight w:val="none"/>
          <w:shd w:val="clear" w:fill="FFFFFF"/>
          <w:lang w:val="en-US"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则</w:t>
      </w:r>
    </w:p>
    <w:p w14:paraId="300BE8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第一条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为促进我省风电、光伏发电产业高质量发展，进一步规范项目管理，贯彻落实“碳达峰、碳中和”政策，根据《中华人民共和国能源法》《关于促进新时代新能源高质量发展实施方案》以及企业投资项目核准和备案管理等有关规定，结合我省实际，制定本办法。</w:t>
      </w:r>
    </w:p>
    <w:p w14:paraId="29BAD23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仿宋_GB2312" w:eastAsia="仿宋_GB2312" w:cs="仿宋_GB2312"/>
          <w:b/>
          <w:bCs/>
          <w:i w:val="0"/>
          <w:iCs w:val="0"/>
          <w:caps w:val="0"/>
          <w:color w:val="auto"/>
          <w:spacing w:val="0"/>
          <w:sz w:val="32"/>
          <w:szCs w:val="32"/>
          <w:highlight w:val="none"/>
          <w:shd w:val="clear" w:fill="FFFFFF"/>
        </w:rPr>
        <w:t>第二条</w:t>
      </w:r>
      <w:r>
        <w:rPr>
          <w:rStyle w:val="8"/>
          <w:rFonts w:hint="eastAsia" w:ascii="仿宋_GB2312" w:hAnsi="仿宋_GB2312"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本办法所称风电项目分为集中式风电和分散式风电项目，光伏发电项目分为集中式光伏和分布式光伏项目。</w:t>
      </w:r>
    </w:p>
    <w:p w14:paraId="0A23CA4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第三条</w:t>
      </w:r>
      <w:r>
        <w:rPr>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风电、光伏发电项目开发建设应坚持</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“安全高效、科学规划、</w:t>
      </w:r>
      <w:r>
        <w:rPr>
          <w:rFonts w:hint="eastAsia" w:ascii="仿宋_GB2312" w:hAnsi="微软雅黑" w:eastAsia="仿宋_GB2312" w:cs="仿宋_GB2312"/>
          <w:b w:val="0"/>
          <w:bCs w:val="0"/>
          <w:i w:val="0"/>
          <w:iCs w:val="0"/>
          <w:caps w:val="0"/>
          <w:color w:val="auto"/>
          <w:spacing w:val="0"/>
          <w:sz w:val="32"/>
          <w:szCs w:val="32"/>
          <w:highlight w:val="none"/>
          <w:shd w:val="clear" w:fill="FFFFFF"/>
        </w:rPr>
        <w:t>统筹协调</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rPr>
        <w:t>合理布局、</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市场主导、</w:t>
      </w:r>
      <w:r>
        <w:rPr>
          <w:rFonts w:hint="eastAsia" w:ascii="仿宋_GB2312" w:hAnsi="微软雅黑" w:eastAsia="仿宋_GB2312" w:cs="仿宋_GB2312"/>
          <w:b w:val="0"/>
          <w:bCs w:val="0"/>
          <w:i w:val="0"/>
          <w:iCs w:val="0"/>
          <w:caps w:val="0"/>
          <w:color w:val="auto"/>
          <w:spacing w:val="0"/>
          <w:sz w:val="32"/>
          <w:szCs w:val="32"/>
          <w:highlight w:val="none"/>
          <w:shd w:val="clear" w:fill="FFFFFF"/>
        </w:rPr>
        <w:t>节约用地、保护环境</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w:t>
      </w:r>
    </w:p>
    <w:p w14:paraId="0904AB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省级能源主管部门统筹全省风电、光伏发电项目管理</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按总体规划，分年度建设实施</w:t>
      </w:r>
      <w:r>
        <w:rPr>
          <w:rFonts w:hint="eastAsia" w:ascii="仿宋_GB2312" w:hAnsi="微软雅黑" w:eastAsia="仿宋_GB2312" w:cs="仿宋_GB2312"/>
          <w:b w:val="0"/>
          <w:bCs w:val="0"/>
          <w:i w:val="0"/>
          <w:iCs w:val="0"/>
          <w:caps w:val="0"/>
          <w:color w:val="auto"/>
          <w:spacing w:val="0"/>
          <w:sz w:val="32"/>
          <w:szCs w:val="32"/>
          <w:highlight w:val="none"/>
          <w:shd w:val="clear" w:fill="FFFFFF"/>
        </w:rPr>
        <w:t>。市级、县级能源主管部门在省级能源主管部门指导下，做好本地区风电、光伏发电项目的开发建设管理工作。</w:t>
      </w:r>
    </w:p>
    <w:p w14:paraId="3318E75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宋体" w:eastAsia="黑体" w:cs="黑体"/>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第五条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本办法</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适用于全省</w:t>
      </w:r>
      <w:r>
        <w:rPr>
          <w:rFonts w:hint="eastAsia" w:ascii="仿宋_GB2312" w:hAnsi="微软雅黑" w:eastAsia="仿宋_GB2312" w:cs="仿宋_GB2312"/>
          <w:b w:val="0"/>
          <w:bCs w:val="0"/>
          <w:i w:val="0"/>
          <w:iCs w:val="0"/>
          <w:caps w:val="0"/>
          <w:color w:val="auto"/>
          <w:spacing w:val="0"/>
          <w:sz w:val="32"/>
          <w:szCs w:val="32"/>
          <w:highlight w:val="none"/>
          <w:shd w:val="clear" w:fill="FFFFFF"/>
        </w:rPr>
        <w:t>风电</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rPr>
        <w:t>光伏发电项目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的</w:t>
      </w:r>
      <w:r>
        <w:rPr>
          <w:rFonts w:hint="eastAsia" w:ascii="仿宋_GB2312" w:hAnsi="微软雅黑" w:eastAsia="仿宋_GB2312" w:cs="仿宋_GB2312"/>
          <w:b w:val="0"/>
          <w:bCs w:val="0"/>
          <w:i w:val="0"/>
          <w:iCs w:val="0"/>
          <w:caps w:val="0"/>
          <w:color w:val="auto"/>
          <w:spacing w:val="0"/>
          <w:sz w:val="32"/>
          <w:szCs w:val="32"/>
          <w:highlight w:val="none"/>
          <w:shd w:val="clear" w:fill="FFFFFF"/>
        </w:rPr>
        <w:t>规划</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管理</w:t>
      </w:r>
      <w:r>
        <w:rPr>
          <w:rFonts w:hint="eastAsia" w:ascii="仿宋_GB2312" w:hAnsi="微软雅黑" w:eastAsia="仿宋_GB2312" w:cs="仿宋_GB2312"/>
          <w:b w:val="0"/>
          <w:bCs w:val="0"/>
          <w:i w:val="0"/>
          <w:iCs w:val="0"/>
          <w:caps w:val="0"/>
          <w:color w:val="auto"/>
          <w:spacing w:val="0"/>
          <w:sz w:val="32"/>
          <w:szCs w:val="32"/>
          <w:highlight w:val="none"/>
          <w:shd w:val="clear" w:fill="FFFFFF"/>
        </w:rPr>
        <w:t>、年度</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规模</w:t>
      </w:r>
      <w:r>
        <w:rPr>
          <w:rFonts w:hint="eastAsia" w:ascii="仿宋_GB2312" w:hAnsi="微软雅黑" w:eastAsia="仿宋_GB2312" w:cs="仿宋_GB2312"/>
          <w:b w:val="0"/>
          <w:bCs w:val="0"/>
          <w:i w:val="0"/>
          <w:iCs w:val="0"/>
          <w:caps w:val="0"/>
          <w:color w:val="auto"/>
          <w:spacing w:val="0"/>
          <w:sz w:val="32"/>
          <w:szCs w:val="32"/>
          <w:highlight w:val="none"/>
          <w:shd w:val="clear" w:fill="FFFFFF"/>
        </w:rPr>
        <w:t>、核准备案、建设管理、</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电网接入、安全生产运行</w:t>
      </w:r>
      <w:r>
        <w:rPr>
          <w:rFonts w:hint="eastAsia" w:ascii="仿宋_GB2312" w:hAnsi="微软雅黑" w:eastAsia="仿宋_GB2312" w:cs="仿宋_GB2312"/>
          <w:b w:val="0"/>
          <w:bCs w:val="0"/>
          <w:i w:val="0"/>
          <w:iCs w:val="0"/>
          <w:caps w:val="0"/>
          <w:color w:val="auto"/>
          <w:spacing w:val="0"/>
          <w:sz w:val="32"/>
          <w:szCs w:val="32"/>
          <w:highlight w:val="none"/>
          <w:shd w:val="clear" w:fill="FFFFFF"/>
        </w:rPr>
        <w:t>及监督等管理。</w:t>
      </w:r>
    </w:p>
    <w:p w14:paraId="1AB220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宋体" w:eastAsia="黑体" w:cs="黑体"/>
          <w:b w:val="0"/>
          <w:bCs w:val="0"/>
          <w:i w:val="0"/>
          <w:iCs w:val="0"/>
          <w:caps w:val="0"/>
          <w:color w:val="auto"/>
          <w:spacing w:val="0"/>
          <w:sz w:val="32"/>
          <w:szCs w:val="32"/>
          <w:highlight w:val="none"/>
          <w:shd w:val="clear" w:fill="FFFFFF"/>
        </w:rPr>
      </w:pPr>
    </w:p>
    <w:p w14:paraId="085115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Style w:val="8"/>
          <w:rFonts w:hint="default" w:ascii="仿宋_GB2312" w:hAnsi="微软雅黑" w:eastAsia="黑体" w:cs="仿宋_GB2312"/>
          <w:b w:val="0"/>
          <w:bCs w:val="0"/>
          <w:i w:val="0"/>
          <w:iCs w:val="0"/>
          <w:caps w:val="0"/>
          <w:color w:val="auto"/>
          <w:spacing w:val="0"/>
          <w:sz w:val="32"/>
          <w:szCs w:val="32"/>
          <w:highlight w:val="none"/>
          <w:shd w:val="clear" w:fill="FFFFFF"/>
          <w:lang w:val="en-US" w:eastAsia="zh-CN"/>
        </w:rPr>
      </w:pPr>
      <w:r>
        <w:rPr>
          <w:rFonts w:hint="eastAsia" w:ascii="黑体" w:hAnsi="宋体" w:eastAsia="黑体" w:cs="黑体"/>
          <w:b w:val="0"/>
          <w:bCs w:val="0"/>
          <w:i w:val="0"/>
          <w:iCs w:val="0"/>
          <w:caps w:val="0"/>
          <w:color w:val="auto"/>
          <w:spacing w:val="0"/>
          <w:sz w:val="32"/>
          <w:szCs w:val="32"/>
          <w:highlight w:val="none"/>
          <w:shd w:val="clear" w:fill="FFFFFF"/>
        </w:rPr>
        <w:t>第二章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规划</w:t>
      </w:r>
      <w:r>
        <w:rPr>
          <w:rFonts w:hint="eastAsia" w:ascii="黑体" w:hAnsi="宋体" w:eastAsia="黑体" w:cs="黑体"/>
          <w:b w:val="0"/>
          <w:bCs w:val="0"/>
          <w:i w:val="0"/>
          <w:iCs w:val="0"/>
          <w:caps w:val="0"/>
          <w:color w:val="auto"/>
          <w:spacing w:val="0"/>
          <w:sz w:val="32"/>
          <w:szCs w:val="32"/>
          <w:highlight w:val="none"/>
          <w:shd w:val="clear" w:fill="FFFFFF"/>
          <w:lang w:val="en-US" w:eastAsia="zh-CN"/>
        </w:rPr>
        <w:t>管理</w:t>
      </w:r>
    </w:p>
    <w:p w14:paraId="28D4EA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第六条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省级能源主管部门负责全省风电、光伏发电发展规划的制定和实施。市级能源主管部门根据需要制定本地区风电、光伏发电发展规划，并上报省级能源主管部门</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县级能源主管部门负责组织辖区内风电、光伏发电资源开发和项目建设</w:t>
      </w:r>
      <w:r>
        <w:rPr>
          <w:rFonts w:hint="eastAsia" w:ascii="仿宋_GB2312" w:hAnsi="微软雅黑" w:eastAsia="仿宋_GB2312" w:cs="仿宋_GB2312"/>
          <w:b w:val="0"/>
          <w:bCs w:val="0"/>
          <w:i w:val="0"/>
          <w:iCs w:val="0"/>
          <w:caps w:val="0"/>
          <w:color w:val="auto"/>
          <w:spacing w:val="0"/>
          <w:sz w:val="32"/>
          <w:szCs w:val="32"/>
          <w:highlight w:val="none"/>
          <w:shd w:val="clear" w:fill="FFFFFF"/>
        </w:rPr>
        <w:t>。风电、光伏发电项目的开发建设</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须</w:t>
      </w:r>
      <w:r>
        <w:rPr>
          <w:rFonts w:hint="eastAsia" w:ascii="仿宋_GB2312" w:hAnsi="微软雅黑" w:eastAsia="仿宋_GB2312" w:cs="仿宋_GB2312"/>
          <w:b w:val="0"/>
          <w:bCs w:val="0"/>
          <w:i w:val="0"/>
          <w:iCs w:val="0"/>
          <w:caps w:val="0"/>
          <w:color w:val="auto"/>
          <w:spacing w:val="0"/>
          <w:sz w:val="32"/>
          <w:szCs w:val="32"/>
          <w:highlight w:val="none"/>
          <w:shd w:val="clear" w:fill="FFFFFF"/>
        </w:rPr>
        <w:t>符合相关管理要求，落实资源、土地、生态、并网和消纳等条件。</w:t>
      </w:r>
    </w:p>
    <w:p w14:paraId="3043D86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第七条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风电、光伏发电发展规划应坚持统筹兼顾，强化科学论证。规划内容应包括规划期内发展思路、面临形势、指导思想、基本原则、发展目标、建设布局、重点任务、重大项目</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、保障措施、</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环境影响评价等内容。</w:t>
      </w:r>
      <w:r>
        <w:rPr>
          <w:rFonts w:hint="eastAsia" w:ascii="仿宋_GB2312" w:hAnsi="微软雅黑" w:eastAsia="仿宋_GB2312" w:cs="仿宋_GB2312"/>
          <w:b w:val="0"/>
          <w:bCs w:val="0"/>
          <w:i w:val="0"/>
          <w:iCs w:val="0"/>
          <w:caps w:val="0"/>
          <w:color w:val="auto"/>
          <w:spacing w:val="0"/>
          <w:sz w:val="32"/>
          <w:szCs w:val="32"/>
          <w:highlight w:val="none"/>
          <w:shd w:val="clear" w:fill="FFFFFF"/>
        </w:rPr>
        <w:t>省级能源主管部门根据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实施情况进行</w:t>
      </w:r>
      <w:r>
        <w:rPr>
          <w:rFonts w:hint="eastAsia" w:ascii="仿宋_GB2312" w:hAnsi="微软雅黑" w:eastAsia="仿宋_GB2312" w:cs="仿宋_GB2312"/>
          <w:b w:val="0"/>
          <w:bCs w:val="0"/>
          <w:i w:val="0"/>
          <w:iCs w:val="0"/>
          <w:caps w:val="0"/>
          <w:color w:val="auto"/>
          <w:spacing w:val="0"/>
          <w:sz w:val="32"/>
          <w:szCs w:val="32"/>
          <w:highlight w:val="none"/>
          <w:shd w:val="clear" w:fill="FFFFFF"/>
        </w:rPr>
        <w:t>中期评估</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科学合理调整规划建设目标</w:t>
      </w:r>
      <w:r>
        <w:rPr>
          <w:rFonts w:hint="eastAsia" w:ascii="仿宋_GB2312" w:hAnsi="微软雅黑" w:eastAsia="仿宋_GB2312" w:cs="仿宋_GB2312"/>
          <w:b w:val="0"/>
          <w:bCs w:val="0"/>
          <w:i w:val="0"/>
          <w:iCs w:val="0"/>
          <w:caps w:val="0"/>
          <w:color w:val="auto"/>
          <w:spacing w:val="0"/>
          <w:sz w:val="32"/>
          <w:szCs w:val="32"/>
          <w:highlight w:val="none"/>
          <w:shd w:val="clear" w:fill="FFFFFF"/>
        </w:rPr>
        <w:t>。</w:t>
      </w:r>
    </w:p>
    <w:p w14:paraId="66B3B42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第八条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规划应当坚守生态和发展两条底线，根据区域资源、土地、电网消纳、经济可行性等条件，统筹区域项目建设规模和开发时序。</w:t>
      </w:r>
    </w:p>
    <w:p w14:paraId="01C2B7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宋体" w:eastAsia="黑体" w:cs="黑体"/>
          <w:b w:val="0"/>
          <w:bCs w:val="0"/>
          <w:i w:val="0"/>
          <w:iCs w:val="0"/>
          <w:caps w:val="0"/>
          <w:color w:val="auto"/>
          <w:spacing w:val="0"/>
          <w:sz w:val="32"/>
          <w:szCs w:val="32"/>
          <w:highlight w:val="none"/>
          <w:shd w:val="clear" w:fill="FFFFFF"/>
        </w:rPr>
      </w:pPr>
    </w:p>
    <w:p w14:paraId="11D227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eastAsia="黑体"/>
          <w:b w:val="0"/>
          <w:bCs w:val="0"/>
          <w:color w:val="auto"/>
          <w:sz w:val="32"/>
          <w:szCs w:val="32"/>
          <w:highlight w:val="none"/>
          <w:lang w:eastAsia="zh-CN"/>
        </w:rPr>
      </w:pPr>
      <w:r>
        <w:rPr>
          <w:rFonts w:hint="eastAsia" w:ascii="黑体" w:hAnsi="宋体" w:eastAsia="黑体" w:cs="黑体"/>
          <w:b w:val="0"/>
          <w:bCs w:val="0"/>
          <w:i w:val="0"/>
          <w:iCs w:val="0"/>
          <w:caps w:val="0"/>
          <w:color w:val="auto"/>
          <w:spacing w:val="0"/>
          <w:sz w:val="32"/>
          <w:szCs w:val="32"/>
          <w:highlight w:val="none"/>
          <w:shd w:val="clear" w:fill="FFFFFF"/>
        </w:rPr>
        <w:t>第三章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年度</w:t>
      </w:r>
      <w:r>
        <w:rPr>
          <w:rFonts w:hint="eastAsia" w:ascii="黑体" w:hAnsi="宋体" w:eastAsia="黑体" w:cs="黑体"/>
          <w:b w:val="0"/>
          <w:bCs w:val="0"/>
          <w:i w:val="0"/>
          <w:iCs w:val="0"/>
          <w:caps w:val="0"/>
          <w:color w:val="auto"/>
          <w:spacing w:val="0"/>
          <w:sz w:val="32"/>
          <w:szCs w:val="32"/>
          <w:highlight w:val="none"/>
          <w:shd w:val="clear" w:fill="FFFFFF"/>
          <w:lang w:val="en-US" w:eastAsia="zh-CN"/>
        </w:rPr>
        <w:t>规模</w:t>
      </w:r>
    </w:p>
    <w:p w14:paraId="4458644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九</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省级能源主管部门根据规划目标实施情况，对规划目标进行分年度管理，制定省级风电、光伏发电年度建设规模</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rPr>
        <w:t>明确申报要求和申报程序</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及时下达年度建设规模</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计划</w:t>
      </w:r>
      <w:r>
        <w:rPr>
          <w:rFonts w:hint="eastAsia" w:ascii="仿宋_GB2312" w:hAnsi="仿宋_GB2312" w:eastAsia="仿宋_GB2312" w:cs="仿宋_GB2312"/>
          <w:b w:val="0"/>
          <w:bCs w:val="0"/>
          <w:i w:val="0"/>
          <w:iCs w:val="0"/>
          <w:caps w:val="0"/>
          <w:color w:val="auto"/>
          <w:spacing w:val="0"/>
          <w:sz w:val="32"/>
          <w:szCs w:val="32"/>
          <w:highlight w:val="none"/>
          <w:shd w:val="clear" w:fill="FFFFFF"/>
        </w:rPr>
        <w:t>项目</w:t>
      </w:r>
      <w:r>
        <w:rPr>
          <w:rFonts w:hint="eastAsia" w:ascii="仿宋_GB2312" w:hAnsi="微软雅黑" w:eastAsia="仿宋_GB2312" w:cs="仿宋_GB2312"/>
          <w:b w:val="0"/>
          <w:bCs w:val="0"/>
          <w:i w:val="0"/>
          <w:iCs w:val="0"/>
          <w:caps w:val="0"/>
          <w:color w:val="auto"/>
          <w:spacing w:val="0"/>
          <w:sz w:val="32"/>
          <w:szCs w:val="32"/>
          <w:highlight w:val="none"/>
          <w:shd w:val="clear" w:fill="FFFFFF"/>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风电、光伏发电年度建设规模项目申报按照“成熟一批、上报一批”原则，不限申报时间和批次。</w:t>
      </w:r>
    </w:p>
    <w:p w14:paraId="7ACC796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第十条</w:t>
      </w:r>
      <w:r>
        <w:rPr>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市级能源主管部门根据要求，结合本地区资源、电网消纳等条件，组织辖区内各县级能源主管部门申报年度建设规模项目。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“千乡万村驭风行动”分散式风电项目由县级能源主管部门直接申报，并抄送市级能源主管部门，分散式风电项目需与乡村振兴结合，让村集体受益。</w:t>
      </w:r>
    </w:p>
    <w:p w14:paraId="7B0D2BB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一</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年度建设规模项目申报材料包括建设单位与县级政府签订的开发协议，县自然资源、林业、生态环境等主管部门出具的不涉及限制性因素意见，项目选址红线图、建设单位有关资信、资源测评、建设条件论证、项目经济性测算等材料。</w:t>
      </w:r>
    </w:p>
    <w:p w14:paraId="233881A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积极推动风电、光伏发电与煤电联营、乡村振兴、重点产业建设</w:t>
      </w:r>
      <w:r>
        <w:rPr>
          <w:rFonts w:hint="eastAsia" w:ascii="仿宋_GB2312" w:hAnsi="仿宋_GB2312" w:eastAsia="仿宋_GB2312" w:cs="仿宋_GB2312"/>
          <w:b w:val="0"/>
          <w:bCs w:val="0"/>
          <w:i w:val="0"/>
          <w:iCs w:val="0"/>
          <w:caps w:val="0"/>
          <w:color w:val="auto"/>
          <w:spacing w:val="0"/>
          <w:sz w:val="32"/>
          <w:szCs w:val="32"/>
          <w:highlight w:val="none"/>
          <w:shd w:val="clear" w:fill="FFFFFF"/>
        </w:rPr>
        <w:t>融合</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发展，</w:t>
      </w:r>
      <w:r>
        <w:rPr>
          <w:rFonts w:hint="eastAsia" w:ascii="仿宋_GB2312" w:hAnsi="仿宋_GB2312" w:eastAsia="仿宋_GB2312" w:cs="仿宋_GB2312"/>
          <w:b w:val="0"/>
          <w:bCs w:val="0"/>
          <w:i w:val="0"/>
          <w:iCs w:val="0"/>
          <w:caps w:val="0"/>
          <w:color w:val="auto"/>
          <w:spacing w:val="0"/>
          <w:sz w:val="32"/>
          <w:szCs w:val="32"/>
          <w:highlight w:val="none"/>
          <w:shd w:val="clear" w:fill="FFFFFF"/>
        </w:rPr>
        <w:t>鼓励</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风电、光伏发电项目建设与我省风电光伏先进装备制造相结合。推进</w:t>
      </w:r>
      <w:r>
        <w:rPr>
          <w:rFonts w:hint="eastAsia" w:ascii="仿宋_GB2312" w:hAnsi="仿宋_GB2312" w:eastAsia="仿宋_GB2312" w:cs="仿宋_GB2312"/>
          <w:b w:val="0"/>
          <w:bCs w:val="0"/>
          <w:i w:val="0"/>
          <w:iCs w:val="0"/>
          <w:caps w:val="0"/>
          <w:color w:val="auto"/>
          <w:spacing w:val="0"/>
          <w:sz w:val="32"/>
          <w:szCs w:val="32"/>
          <w:highlight w:val="none"/>
          <w:shd w:val="clear" w:fill="FFFFFF"/>
        </w:rPr>
        <w:t>“风光水火储”</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和</w:t>
      </w:r>
      <w:r>
        <w:rPr>
          <w:rFonts w:hint="eastAsia" w:ascii="仿宋_GB2312" w:hAnsi="仿宋_GB2312" w:eastAsia="仿宋_GB2312" w:cs="仿宋_GB2312"/>
          <w:b w:val="0"/>
          <w:bCs w:val="0"/>
          <w:i w:val="0"/>
          <w:iCs w:val="0"/>
          <w:caps w:val="0"/>
          <w:color w:val="auto"/>
          <w:spacing w:val="0"/>
          <w:sz w:val="32"/>
          <w:szCs w:val="32"/>
          <w:highlight w:val="none"/>
          <w:shd w:val="clear" w:fill="FFFFFF"/>
        </w:rPr>
        <w:t>“源网荷储”</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一体化</w:t>
      </w:r>
      <w:r>
        <w:rPr>
          <w:rFonts w:hint="eastAsia" w:ascii="仿宋_GB2312" w:hAnsi="仿宋_GB2312" w:eastAsia="仿宋_GB2312" w:cs="仿宋_GB2312"/>
          <w:b w:val="0"/>
          <w:bCs w:val="0"/>
          <w:i w:val="0"/>
          <w:iCs w:val="0"/>
          <w:caps w:val="0"/>
          <w:color w:val="auto"/>
          <w:spacing w:val="0"/>
          <w:sz w:val="32"/>
          <w:szCs w:val="32"/>
          <w:highlight w:val="none"/>
          <w:shd w:val="clear" w:fill="FFFFFF"/>
        </w:rPr>
        <w:t>发展</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鼓励按照区域新能源建设规模、电力负荷水平、电网需求等有序规划建设新型储能项目</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消纳受限、电网末端区域的新型储能项目与新能源项目同步投产</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鼓励</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项目投资主体自愿提高风电、光伏发电项目配置储能和购买储能服务的比例。积极推进利用各</w:t>
      </w:r>
      <w:r>
        <w:rPr>
          <w:rFonts w:hint="eastAsia" w:ascii="仿宋_GB2312" w:hAnsi="仿宋_GB2312" w:eastAsia="仿宋_GB2312" w:cs="仿宋_GB2312"/>
          <w:b w:val="0"/>
          <w:bCs w:val="0"/>
          <w:i w:val="0"/>
          <w:iCs w:val="0"/>
          <w:caps w:val="0"/>
          <w:color w:val="auto"/>
          <w:spacing w:val="0"/>
          <w:sz w:val="32"/>
          <w:szCs w:val="32"/>
          <w:highlight w:val="none"/>
          <w:shd w:val="clear" w:fill="FFFFFF"/>
        </w:rPr>
        <w:t>种边坡、边沟、灰场、填埋场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采煤沉陷区</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矿渣堆场</w:t>
      </w:r>
      <w:r>
        <w:rPr>
          <w:rFonts w:hint="eastAsia" w:ascii="仿宋_GB2312" w:hAnsi="仿宋_GB2312" w:eastAsia="仿宋_GB2312" w:cs="仿宋_GB2312"/>
          <w:b w:val="0"/>
          <w:bCs w:val="0"/>
          <w:i w:val="0"/>
          <w:iCs w:val="0"/>
          <w:caps w:val="0"/>
          <w:color w:val="auto"/>
          <w:spacing w:val="0"/>
          <w:sz w:val="32"/>
          <w:szCs w:val="32"/>
          <w:highlight w:val="none"/>
          <w:shd w:val="clear" w:fill="FFFFFF"/>
        </w:rPr>
        <w:t>等</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建设光伏发电项目；积极探索开展茶光互补项目建设，</w:t>
      </w:r>
      <w:r>
        <w:rPr>
          <w:rFonts w:hint="eastAsia" w:ascii="仿宋_GB2312" w:hAnsi="仿宋_GB2312" w:eastAsia="仿宋_GB2312" w:cs="仿宋_GB2312"/>
          <w:b w:val="0"/>
          <w:bCs w:val="0"/>
          <w:i w:val="0"/>
          <w:iCs w:val="0"/>
          <w:caps w:val="0"/>
          <w:color w:val="auto"/>
          <w:spacing w:val="0"/>
          <w:sz w:val="32"/>
          <w:szCs w:val="32"/>
          <w:highlight w:val="none"/>
          <w:shd w:val="clear" w:fill="FFFFFF"/>
        </w:rPr>
        <w:t>充分挖掘土地</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可</w:t>
      </w:r>
      <w:r>
        <w:rPr>
          <w:rFonts w:hint="eastAsia" w:ascii="仿宋_GB2312" w:hAnsi="仿宋_GB2312" w:eastAsia="仿宋_GB2312" w:cs="仿宋_GB2312"/>
          <w:b w:val="0"/>
          <w:bCs w:val="0"/>
          <w:i w:val="0"/>
          <w:iCs w:val="0"/>
          <w:caps w:val="0"/>
          <w:color w:val="auto"/>
          <w:spacing w:val="0"/>
          <w:sz w:val="32"/>
          <w:szCs w:val="32"/>
          <w:highlight w:val="none"/>
          <w:shd w:val="clear" w:fill="FFFFFF"/>
        </w:rPr>
        <w:t>利用空间。</w:t>
      </w:r>
    </w:p>
    <w:p w14:paraId="0A6FB03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宋体" w:eastAsia="黑体" w:cs="黑体"/>
          <w:b w:val="0"/>
          <w:bCs w:val="0"/>
          <w:i w:val="0"/>
          <w:iCs w:val="0"/>
          <w:caps w:val="0"/>
          <w:color w:val="auto"/>
          <w:spacing w:val="0"/>
          <w:sz w:val="32"/>
          <w:szCs w:val="32"/>
          <w:highlight w:val="none"/>
          <w:shd w:val="clear" w:fill="FFFFFF"/>
        </w:rPr>
      </w:pPr>
    </w:p>
    <w:p w14:paraId="302E6C7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b w:val="0"/>
          <w:bCs w:val="0"/>
          <w:color w:val="auto"/>
          <w:sz w:val="32"/>
          <w:szCs w:val="32"/>
          <w:highlight w:val="none"/>
        </w:rPr>
      </w:pPr>
      <w:r>
        <w:rPr>
          <w:rFonts w:hint="eastAsia" w:ascii="黑体" w:hAnsi="宋体" w:eastAsia="黑体" w:cs="黑体"/>
          <w:b w:val="0"/>
          <w:bCs w:val="0"/>
          <w:i w:val="0"/>
          <w:iCs w:val="0"/>
          <w:caps w:val="0"/>
          <w:color w:val="auto"/>
          <w:spacing w:val="0"/>
          <w:sz w:val="32"/>
          <w:szCs w:val="32"/>
          <w:highlight w:val="none"/>
          <w:shd w:val="clear" w:fill="FFFFFF"/>
        </w:rPr>
        <w:t>第四章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核准备案</w:t>
      </w:r>
    </w:p>
    <w:p w14:paraId="6FD5AEB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风电项目实行核准制，项目核准根据省人民政府政务服务网发布的《风力发电项目的核准》办事指南等相关要求，登录贵州省能源工程建设项目审批管理系统</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申请</w:t>
      </w:r>
      <w:r>
        <w:rPr>
          <w:rFonts w:hint="eastAsia" w:ascii="仿宋_GB2312" w:hAnsi="微软雅黑" w:eastAsia="仿宋_GB2312" w:cs="仿宋_GB2312"/>
          <w:b w:val="0"/>
          <w:bCs w:val="0"/>
          <w:i w:val="0"/>
          <w:iCs w:val="0"/>
          <w:caps w:val="0"/>
          <w:color w:val="auto"/>
          <w:spacing w:val="0"/>
          <w:sz w:val="32"/>
          <w:szCs w:val="32"/>
          <w:highlight w:val="none"/>
          <w:shd w:val="clear" w:fill="FFFFFF"/>
        </w:rPr>
        <w:t>办理。</w:t>
      </w:r>
    </w:p>
    <w:p w14:paraId="5E9C85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光伏发电项目实行备案制，</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备案容量为交流侧容量</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即逆变器额定输出功率之和）。集中式光伏发电项目由省级能源主管部门备案，根据省人民政府政务服务网发布的《光伏发电项目的备案》办事指南等相关要求，登录贵州省能源工程建设项目审批管理系统申请办理。分布式光伏发电项目由县级能源主管部门备案，县级能源主管部门需制定分布式光伏发电项目备案流程和办事指南，并进行公布，原则上项目备案在贵州省投资项目在线审批监管平台申请办理。</w:t>
      </w:r>
      <w:r>
        <w:rPr>
          <w:rFonts w:hint="eastAsia" w:ascii="仿宋_GB2312" w:hAnsi="仿宋_GB2312" w:eastAsia="仿宋_GB2312" w:cs="仿宋_GB2312"/>
          <w:sz w:val="32"/>
          <w:szCs w:val="32"/>
          <w:highlight w:val="none"/>
          <w:lang w:eastAsia="zh-CN"/>
        </w:rPr>
        <w:t>县级能源主管部门应于每年1月底前将上年度分布式光伏发电项目备案、建设、投产情况报省能源局和国家能源局贵州监管办公室。</w:t>
      </w:r>
    </w:p>
    <w:p w14:paraId="1F54AD3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五</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rPr>
        <w:t xml:space="preserve"> </w:t>
      </w:r>
      <w:r>
        <w:rPr>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项目投资主体和地方政府要积极推进项目前期工作</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，加快相关手续办理和建设准备，</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原则上风电项目在年度建设规模下达后一年内完成核准，光伏发电项目在年度建设规模下达后6个月内完成备案。未在规定期限完成核准、备案的项目，需提前10个工作日向省能源局申请延期核准、备案，否则该项目将自动移除年度建设规模。每个项目在前期工作阶段只能申请延期一次，延期时间不超过6个月。</w:t>
      </w:r>
    </w:p>
    <w:p w14:paraId="387B9A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六</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rPr>
        <w:t xml:space="preserve"> </w:t>
      </w:r>
      <w:r>
        <w:rPr>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项目核准后，一年内开工建设，两年内全容量并网发电；光伏发电项目备案后，6个月内开工建设，一年6个月内全容量并网发电。在规定期限内未开工建设的项目，需提前10个工作日向省能源局申请建设延期，否则该项目将自动移除并网规模。每个项目在建设阶段只能申请延期一次，延期时间不超过12个月。因风机选型，纳入年度建设规模的风电项目，超过规模控制在单台风机容量之内。</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未按要求推进前期工作和未按要求建设的项目，省级能源主管部门组织移除年度建设规模计划</w:t>
      </w:r>
      <w:r>
        <w:rPr>
          <w:rFonts w:hint="eastAsia" w:ascii="仿宋_GB2312" w:hAnsi="微软雅黑" w:eastAsia="仿宋_GB2312" w:cs="仿宋_GB2312"/>
          <w:b/>
          <w:bCs/>
          <w:i w:val="0"/>
          <w:iCs w:val="0"/>
          <w:caps w:val="0"/>
          <w:color w:val="auto"/>
          <w:spacing w:val="0"/>
          <w:sz w:val="31"/>
          <w:szCs w:val="31"/>
          <w:highlight w:val="none"/>
          <w:shd w:val="clear" w:fill="FFFFFF"/>
          <w:lang w:val="en-US" w:eastAsia="zh-CN"/>
        </w:rPr>
        <w:t>。</w:t>
      </w:r>
    </w:p>
    <w:p w14:paraId="114D16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七</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项目核准备案信息发生变化</w:t>
      </w:r>
      <w:r>
        <w:rPr>
          <w:rFonts w:hint="eastAsia" w:ascii="仿宋_GB2312" w:hAnsi="微软雅黑" w:eastAsia="仿宋_GB2312" w:cs="仿宋_GB2312"/>
          <w:b w:val="0"/>
          <w:bCs w:val="0"/>
          <w:i w:val="0"/>
          <w:iCs w:val="0"/>
          <w:caps w:val="0"/>
          <w:color w:val="auto"/>
          <w:spacing w:val="0"/>
          <w:kern w:val="2"/>
          <w:sz w:val="32"/>
          <w:szCs w:val="32"/>
          <w:highlight w:val="none"/>
          <w:shd w:val="clear" w:fill="FFFFFF"/>
          <w:lang w:val="en-US" w:eastAsia="zh-CN" w:bidi="ar-SA"/>
        </w:rPr>
        <w:t>或投资主体放弃项目建设，</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需按照程序由县级能源主管部门向省级能源主管部门申请变更，或上报放弃项目建设的报告。</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建设单位、建设地址、建设内容和投资金额等发生重大变化，需进行论证。投资主体在项目建成之前，原则不得转让项目控股权，确因投资能力等情况需转让项目控股权，须按程序向省级能源主管部门申请。</w:t>
      </w:r>
    </w:p>
    <w:p w14:paraId="647A84B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宋体" w:eastAsia="黑体" w:cs="黑体"/>
          <w:b w:val="0"/>
          <w:bCs w:val="0"/>
          <w:i w:val="0"/>
          <w:iCs w:val="0"/>
          <w:caps w:val="0"/>
          <w:color w:val="auto"/>
          <w:spacing w:val="0"/>
          <w:sz w:val="32"/>
          <w:szCs w:val="32"/>
          <w:highlight w:val="none"/>
          <w:shd w:val="clear" w:fill="FFFFFF"/>
        </w:rPr>
      </w:pPr>
    </w:p>
    <w:p w14:paraId="2E003F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b w:val="0"/>
          <w:bCs w:val="0"/>
          <w:color w:val="auto"/>
          <w:sz w:val="32"/>
          <w:szCs w:val="32"/>
          <w:highlight w:val="none"/>
        </w:rPr>
      </w:pPr>
      <w:r>
        <w:rPr>
          <w:rFonts w:hint="eastAsia" w:ascii="黑体" w:hAnsi="宋体" w:eastAsia="黑体" w:cs="黑体"/>
          <w:b w:val="0"/>
          <w:bCs w:val="0"/>
          <w:i w:val="0"/>
          <w:iCs w:val="0"/>
          <w:caps w:val="0"/>
          <w:color w:val="auto"/>
          <w:spacing w:val="0"/>
          <w:sz w:val="32"/>
          <w:szCs w:val="32"/>
          <w:highlight w:val="none"/>
          <w:shd w:val="clear" w:fill="FFFFFF"/>
        </w:rPr>
        <w:t>第五章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建设管理</w:t>
      </w:r>
    </w:p>
    <w:p w14:paraId="742469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八</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1"/>
          <w:szCs w:val="31"/>
          <w:highlight w:val="none"/>
          <w:shd w:val="clear" w:fill="FFFFFF"/>
        </w:rPr>
        <w:t>风电、光伏发电项目建设</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应符合</w:t>
      </w:r>
      <w:r>
        <w:rPr>
          <w:rFonts w:hint="eastAsia" w:ascii="仿宋_GB2312" w:hAnsi="微软雅黑" w:eastAsia="仿宋_GB2312" w:cs="仿宋_GB2312"/>
          <w:b w:val="0"/>
          <w:bCs w:val="0"/>
          <w:i w:val="0"/>
          <w:iCs w:val="0"/>
          <w:caps w:val="0"/>
          <w:color w:val="auto"/>
          <w:spacing w:val="0"/>
          <w:sz w:val="31"/>
          <w:szCs w:val="31"/>
          <w:highlight w:val="none"/>
          <w:shd w:val="clear" w:fill="FFFFFF"/>
          <w:lang w:eastAsia="zh-CN"/>
        </w:rPr>
        <w:t>相关规范和规定</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要求</w:t>
      </w:r>
      <w:r>
        <w:rPr>
          <w:rFonts w:hint="eastAsia" w:ascii="仿宋_GB2312" w:hAnsi="微软雅黑" w:eastAsia="仿宋_GB2312" w:cs="仿宋_GB2312"/>
          <w:b w:val="0"/>
          <w:bCs w:val="0"/>
          <w:i w:val="0"/>
          <w:iCs w:val="0"/>
          <w:caps w:val="0"/>
          <w:color w:val="auto"/>
          <w:spacing w:val="0"/>
          <w:sz w:val="31"/>
          <w:szCs w:val="31"/>
          <w:highlight w:val="none"/>
          <w:shd w:val="clear" w:fill="FFFFFF"/>
          <w:lang w:eastAsia="zh-CN"/>
        </w:rPr>
        <w:t>。</w:t>
      </w:r>
    </w:p>
    <w:p w14:paraId="12ADBB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九</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投资主体按照有关要求办理环保、水保、用地等开工前手续。</w:t>
      </w:r>
      <w:r>
        <w:rPr>
          <w:rFonts w:hint="eastAsia" w:ascii="仿宋_GB2312" w:hAnsi="微软雅黑" w:eastAsia="仿宋_GB2312" w:cs="仿宋_GB2312"/>
          <w:b w:val="0"/>
          <w:bCs w:val="0"/>
          <w:i w:val="0"/>
          <w:iCs w:val="0"/>
          <w:caps w:val="0"/>
          <w:color w:val="auto"/>
          <w:spacing w:val="0"/>
          <w:sz w:val="32"/>
          <w:szCs w:val="32"/>
          <w:highlight w:val="none"/>
          <w:shd w:val="clear" w:color="auto" w:fill="FFFFFF"/>
        </w:rPr>
        <w:t>项目需占用林地、草地的，要符合有关法律法规并依法办理使用林地、草地相关手续</w:t>
      </w:r>
      <w:r>
        <w:rPr>
          <w:rFonts w:hint="eastAsia" w:ascii="仿宋_GB2312" w:hAnsi="微软雅黑" w:eastAsia="仿宋_GB2312" w:cs="仿宋_GB2312"/>
          <w:b w:val="0"/>
          <w:bCs w:val="0"/>
          <w:i w:val="0"/>
          <w:iCs w:val="0"/>
          <w:caps w:val="0"/>
          <w:color w:val="auto"/>
          <w:spacing w:val="0"/>
          <w:sz w:val="32"/>
          <w:szCs w:val="32"/>
          <w:highlight w:val="none"/>
          <w:shd w:val="clear" w:color="auto" w:fill="FFFFFF"/>
          <w:lang w:val="en-US" w:eastAsia="zh-CN"/>
        </w:rPr>
        <w:t>；已办理林草使用手续的项目，如实施过程中涉及用地范围变更，而装机规模、建设乡镇无变化的，由县级能源主管部门出具变更批复后办理林草变更手续；装机规模、建设乡镇发生变化的，由项目原批准单位出具变更批复后办理林草变更手续。</w:t>
      </w:r>
    </w:p>
    <w:p w14:paraId="756A60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第二十条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严格执行“三同时”制度，确保环境保护、水土保持、林地林业生产条件及林草植被恢复工程与主体工程同时设计、同时施工、</w:t>
      </w:r>
      <w:r>
        <w:rPr>
          <w:rFonts w:hint="eastAsia" w:ascii="仿宋_GB2312" w:hAnsi="微软雅黑" w:eastAsia="仿宋_GB2312" w:cs="仿宋_GB2312"/>
          <w:b w:val="0"/>
          <w:bCs w:val="0"/>
          <w:i w:val="0"/>
          <w:iCs w:val="0"/>
          <w:caps w:val="0"/>
          <w:color w:val="auto"/>
          <w:spacing w:val="0"/>
          <w:sz w:val="31"/>
          <w:szCs w:val="31"/>
          <w:highlight w:val="none"/>
          <w:shd w:val="clear" w:fill="FFFFFF"/>
        </w:rPr>
        <w:t>同时投入生产和使用。</w:t>
      </w:r>
      <w:r>
        <w:rPr>
          <w:rFonts w:hint="eastAsia" w:ascii="仿宋_GB2312" w:hAnsi="微软雅黑" w:eastAsia="仿宋_GB2312" w:cs="仿宋_GB2312"/>
          <w:b w:val="0"/>
          <w:bCs w:val="0"/>
          <w:i w:val="0"/>
          <w:iCs w:val="0"/>
          <w:caps w:val="0"/>
          <w:color w:val="auto"/>
          <w:spacing w:val="0"/>
          <w:sz w:val="32"/>
          <w:szCs w:val="32"/>
          <w:highlight w:val="none"/>
          <w:shd w:val="clear" w:fill="FFFFFF"/>
        </w:rPr>
        <w:t>严格落实安全生产责任制，严防安全生产事故发生，加强施工质量管理，严格执行电力工程质量监督管理相关规定</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项目设计、施工要结合实际制定实施方案，减少开挖，加强生态修复和治理。风电、光伏发电项目建设要防止边坡土石方倾倒。风电项目采用混塔工艺的设计要与周边环境相协调，光伏项目支架基础要采用对地表扰动较小的施工工艺。</w:t>
      </w:r>
    </w:p>
    <w:p w14:paraId="4F1EFB8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第二十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一</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在风电、光伏发电项目取得核准备案后，优先由电网企业</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投资建设</w:t>
      </w:r>
      <w:r>
        <w:rPr>
          <w:rFonts w:hint="eastAsia" w:ascii="仿宋_GB2312" w:hAnsi="微软雅黑" w:eastAsia="仿宋_GB2312" w:cs="仿宋_GB2312"/>
          <w:b w:val="0"/>
          <w:bCs w:val="0"/>
          <w:i w:val="0"/>
          <w:iCs w:val="0"/>
          <w:caps w:val="0"/>
          <w:color w:val="auto"/>
          <w:spacing w:val="0"/>
          <w:sz w:val="32"/>
          <w:szCs w:val="32"/>
          <w:highlight w:val="none"/>
          <w:shd w:val="clear" w:fill="FFFFFF"/>
        </w:rPr>
        <w:t>新能源配套送出工程，满足新能源并网需求，确保送出工程与电源建设的进度相匹配。对电网企业建设有困难或规划建设时序不匹配的新能源配套送出工程，</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允许</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风电、光伏发电项目投资主体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投资建设。</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风电、光伏发电项目投资主体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建设的</w:t>
      </w:r>
      <w:r>
        <w:rPr>
          <w:rFonts w:hint="eastAsia" w:ascii="仿宋_GB2312" w:hAnsi="微软雅黑" w:eastAsia="仿宋_GB2312" w:cs="仿宋_GB2312"/>
          <w:b w:val="0"/>
          <w:bCs w:val="0"/>
          <w:i w:val="0"/>
          <w:iCs w:val="0"/>
          <w:caps w:val="0"/>
          <w:color w:val="auto"/>
          <w:spacing w:val="0"/>
          <w:sz w:val="32"/>
          <w:szCs w:val="32"/>
          <w:highlight w:val="none"/>
          <w:shd w:val="clear" w:fill="FFFFFF"/>
        </w:rPr>
        <w:t>配套送出工程应充分进行论证，并完全自愿，可以多家企业联合建设，也可以一家企业建设，多家企业共享</w:t>
      </w:r>
      <w:r>
        <w:rPr>
          <w:rFonts w:hint="default"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t>，经电网企业与</w:t>
      </w:r>
      <w:r>
        <w:rPr>
          <w:rFonts w:hint="eastAsia"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t>风电、光伏发电项目投资主体</w:t>
      </w:r>
      <w:r>
        <w:rPr>
          <w:rFonts w:hint="default"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t>双方协商同意，可由电网企业依法依规进行回购。</w:t>
      </w:r>
    </w:p>
    <w:p w14:paraId="30362BA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第二十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Style w:val="8"/>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风电、光伏发电项目实行保障性并网和市场化并网相结合。</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纳入我省风电、光伏发电年度建设规模计划并按规定时序建成的项目，实行保障性并网，并按要求配置项目建设装机容量10%</w:t>
      </w:r>
      <w:r>
        <w:rPr>
          <w:rFonts w:hint="eastAsia" w:ascii="仿宋_GB2312" w:hAnsi="仿宋_GB2312" w:eastAsia="仿宋_GB2312" w:cs="仿宋_GB2312"/>
          <w:sz w:val="32"/>
          <w:szCs w:val="32"/>
          <w:highlight w:val="none"/>
          <w:lang w:val="en-US" w:eastAsia="zh-CN"/>
        </w:rPr>
        <w:t>（满足2小时运行要求）</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以上储能或购买储能服务；未按规定时序全部建成的实行市场化并网，超过规定时序半年内</w:t>
      </w:r>
      <w:r>
        <w:rPr>
          <w:rFonts w:hint="eastAsia" w:ascii="仿宋_GB2312" w:hAnsi="仿宋_GB2312" w:eastAsia="仿宋_GB2312" w:cs="仿宋_GB2312"/>
          <w:sz w:val="32"/>
          <w:szCs w:val="32"/>
          <w:highlight w:val="none"/>
          <w:lang w:val="en-US" w:eastAsia="zh-CN"/>
        </w:rPr>
        <w:t>（含半年）</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建成的部分，</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按装机容量的20%</w:t>
      </w:r>
      <w:r>
        <w:rPr>
          <w:rFonts w:hint="eastAsia" w:ascii="仿宋_GB2312" w:hAnsi="仿宋_GB2312" w:eastAsia="仿宋_GB2312" w:cs="仿宋_GB2312"/>
          <w:sz w:val="32"/>
          <w:szCs w:val="32"/>
          <w:highlight w:val="none"/>
          <w:lang w:val="en-US" w:eastAsia="zh-CN"/>
        </w:rPr>
        <w:t>（满足2小时运行要求）</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以上配置储能或购买储能服务；超过规定时序半年以上但不超过一年（含一年）</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建成的部分，</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按装机容量的30%</w:t>
      </w:r>
      <w:r>
        <w:rPr>
          <w:rFonts w:hint="eastAsia" w:ascii="仿宋_GB2312" w:hAnsi="仿宋_GB2312" w:eastAsia="仿宋_GB2312" w:cs="仿宋_GB2312"/>
          <w:sz w:val="32"/>
          <w:szCs w:val="32"/>
          <w:highlight w:val="none"/>
          <w:lang w:val="en-US" w:eastAsia="zh-CN"/>
        </w:rPr>
        <w:t>（满足2小时运行要求）</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以上配置储能或购买储能服务；超过规定时序一年以上未建成的部分，不予并网。</w:t>
      </w:r>
    </w:p>
    <w:p w14:paraId="5E3FE4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1"/>
          <w:szCs w:val="31"/>
          <w:highlight w:val="none"/>
          <w:shd w:val="clear" w:fill="FFFFFF"/>
        </w:rPr>
        <w:t>风电、光伏发电项目建</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设</w:t>
      </w:r>
      <w:r>
        <w:rPr>
          <w:rFonts w:hint="eastAsia" w:ascii="仿宋_GB2312" w:hAnsi="微软雅黑" w:eastAsia="仿宋_GB2312" w:cs="仿宋_GB2312"/>
          <w:b w:val="0"/>
          <w:bCs w:val="0"/>
          <w:i w:val="0"/>
          <w:iCs w:val="0"/>
          <w:caps w:val="0"/>
          <w:color w:val="auto"/>
          <w:spacing w:val="0"/>
          <w:sz w:val="31"/>
          <w:szCs w:val="31"/>
          <w:highlight w:val="none"/>
          <w:shd w:val="clear" w:fill="FFFFFF"/>
        </w:rPr>
        <w:t>，</w:t>
      </w:r>
      <w:r>
        <w:rPr>
          <w:rFonts w:hint="eastAsia" w:ascii="仿宋_GB2312" w:hAnsi="微软雅黑" w:eastAsia="仿宋_GB2312" w:cs="仿宋_GB2312"/>
          <w:b w:val="0"/>
          <w:bCs w:val="0"/>
          <w:i w:val="0"/>
          <w:iCs w:val="0"/>
          <w:caps w:val="0"/>
          <w:color w:val="auto"/>
          <w:spacing w:val="0"/>
          <w:sz w:val="32"/>
          <w:szCs w:val="32"/>
          <w:highlight w:val="none"/>
          <w:shd w:val="clear" w:fill="FFFFFF"/>
        </w:rPr>
        <w:t>应按照国家有关规定开展环保、水保、消防、安全、并网等专项验收，在各专项验收及全部设备试运行验收通过后，由投资主体自行组织竣工验收。</w:t>
      </w:r>
    </w:p>
    <w:p w14:paraId="69EA13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第二十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鼓励先进的风电、光伏发电装备制造企业研究开发适合我省条件的风电、光伏发电装备；鼓励风电项目选用符合我省条件的大型风力发电机组，充分开发利用风能资源。</w:t>
      </w:r>
    </w:p>
    <w:p w14:paraId="28E299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val="0"/>
          <w:bCs w:val="0"/>
          <w:i w:val="0"/>
          <w:iCs w:val="0"/>
          <w:caps w:val="0"/>
          <w:color w:val="auto"/>
          <w:spacing w:val="0"/>
          <w:sz w:val="32"/>
          <w:szCs w:val="32"/>
          <w:highlight w:val="none"/>
          <w:shd w:val="clear" w:fill="FFFFFF"/>
          <w:lang w:val="en-US" w:eastAsia="zh-CN"/>
        </w:rPr>
      </w:pPr>
    </w:p>
    <w:p w14:paraId="7F45379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i w:val="0"/>
          <w:iCs w:val="0"/>
          <w:caps w:val="0"/>
          <w:color w:val="auto"/>
          <w:spacing w:val="0"/>
          <w:sz w:val="32"/>
          <w:szCs w:val="32"/>
          <w:highlight w:val="none"/>
          <w:shd w:val="clear" w:fill="FFFFFF"/>
          <w:lang w:val="en-US" w:eastAsia="zh-CN"/>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第六章  电网接入</w:t>
      </w:r>
    </w:p>
    <w:p w14:paraId="1E372AE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五</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微软雅黑" w:hAnsi="微软雅黑" w:eastAsia="微软雅黑" w:cs="微软雅黑"/>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电网企业依据风电、光伏发电规划及年度建设规模，落实项目接入条件，加快配套电网建设和改造，保障项目及时并网和消纳。鼓励</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采用智能电网等先进技术，提高</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电力系统</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接纳</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光伏发电的能力。</w:t>
      </w:r>
    </w:p>
    <w:p w14:paraId="6E0E52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六</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电网企业</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应</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依据年度建设规模，</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建立网源沟通机制，加强网源协调发展，提高</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风电、光伏发电项目</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配套电力送出工程相关工作的效率，衔接好网源建设进度，</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满足相应并网条件后“能并尽并”</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w:t>
      </w:r>
    </w:p>
    <w:p w14:paraId="4B5C6C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七</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风电、光伏发电项目应符合国家有关风电、光伏电站接入电网的技术标准规范等有关要求，光伏发电项目应科学合理确定容配比。</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涉网设备必须通过经国家认可的检测认证机构检测认证，经检测认证合格的设备，电网企业非必要不得要求重复检测。项目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要认真做好涉网设备管理，不得擅自停运和调整参数。</w:t>
      </w:r>
    </w:p>
    <w:p w14:paraId="54AF37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八</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项目主体工程和配套电力送出工程完工后，项目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应及时组织项目竣工验收。项目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提交并网</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运行</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申请书后</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电网企业应按国家有关技术标准</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规范</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和管理规定，</w:t>
      </w:r>
      <w:r>
        <w:rPr>
          <w:rFonts w:hint="default" w:ascii="仿宋_GB2312" w:hAnsi="微软雅黑" w:eastAsia="仿宋_GB2312" w:cs="仿宋_GB2312"/>
          <w:b w:val="0"/>
          <w:bCs w:val="0"/>
          <w:i w:val="0"/>
          <w:iCs w:val="0"/>
          <w:caps w:val="0"/>
          <w:color w:val="auto"/>
          <w:spacing w:val="0"/>
          <w:sz w:val="31"/>
          <w:szCs w:val="31"/>
          <w:highlight w:val="none"/>
          <w:shd w:val="clear" w:fill="FFFFFF"/>
          <w:lang w:val="en-US" w:eastAsia="zh-CN"/>
        </w:rPr>
        <w:t>在规定时间内配合开展风电、光伏电站涉网设备和电力送出工程的并网调试、竣工验收，可结合实际参照《新能源场站并网调度协议示范文本》《购售电合同示范文本》与项目投资主体签订并网调度协议和购售电合同。</w:t>
      </w:r>
    </w:p>
    <w:p w14:paraId="28F3B9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九</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电网企业应采取系统性技术措施，合理安排电网运行方式，完善</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光伏电站并网运行的调度技术体系，按照有关规定保障</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光伏电站安全高效并网运行。</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风电、光伏电站项目投资主体应加强运行维护管理，积极配合电网企业的并网运行调度管理。</w:t>
      </w:r>
    </w:p>
    <w:p w14:paraId="700CB6F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黑体" w:hAnsi="宋体" w:eastAsia="黑体" w:cs="黑体"/>
          <w:b w:val="0"/>
          <w:bCs w:val="0"/>
          <w:i w:val="0"/>
          <w:iCs w:val="0"/>
          <w:caps w:val="0"/>
          <w:color w:val="auto"/>
          <w:spacing w:val="0"/>
          <w:sz w:val="32"/>
          <w:szCs w:val="32"/>
          <w:highlight w:val="none"/>
          <w:shd w:val="clear" w:fill="FFFFFF"/>
        </w:rPr>
      </w:pPr>
    </w:p>
    <w:p w14:paraId="31F61D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rPr>
        <w:t>第</w:t>
      </w:r>
      <w:r>
        <w:rPr>
          <w:rFonts w:hint="eastAsia" w:ascii="黑体" w:hAnsi="黑体" w:eastAsia="黑体" w:cs="黑体"/>
          <w:b w:val="0"/>
          <w:bCs w:val="0"/>
          <w:i w:val="0"/>
          <w:iCs w:val="0"/>
          <w:caps w:val="0"/>
          <w:color w:val="auto"/>
          <w:spacing w:val="0"/>
          <w:sz w:val="32"/>
          <w:szCs w:val="32"/>
          <w:highlight w:val="none"/>
          <w:shd w:val="clear" w:fill="FFFFFF"/>
          <w:lang w:eastAsia="zh-CN"/>
        </w:rPr>
        <w:t>七</w:t>
      </w:r>
      <w:r>
        <w:rPr>
          <w:rFonts w:hint="eastAsia" w:ascii="黑体" w:hAnsi="黑体" w:eastAsia="黑体" w:cs="黑体"/>
          <w:b w:val="0"/>
          <w:bCs w:val="0"/>
          <w:i w:val="0"/>
          <w:iCs w:val="0"/>
          <w:caps w:val="0"/>
          <w:color w:val="auto"/>
          <w:spacing w:val="0"/>
          <w:sz w:val="32"/>
          <w:szCs w:val="32"/>
          <w:highlight w:val="none"/>
          <w:shd w:val="clear" w:fill="FFFFFF"/>
        </w:rPr>
        <w:t>章</w:t>
      </w:r>
      <w:r>
        <w:rPr>
          <w:rFonts w:hint="eastAsia" w:ascii="黑体" w:hAnsi="黑体" w:eastAsia="黑体" w:cs="黑体"/>
          <w:b w:val="0"/>
          <w:bCs w:val="0"/>
          <w:i w:val="0"/>
          <w:iCs w:val="0"/>
          <w:caps w:val="0"/>
          <w:color w:val="auto"/>
          <w:spacing w:val="0"/>
          <w:sz w:val="32"/>
          <w:szCs w:val="32"/>
          <w:highlight w:val="none"/>
          <w:shd w:val="clear" w:fill="FFFFFF"/>
          <w:lang w:eastAsia="zh-CN"/>
        </w:rPr>
        <w:t xml:space="preserve">  </w:t>
      </w:r>
      <w:r>
        <w:rPr>
          <w:rFonts w:hint="eastAsia" w:ascii="黑体" w:hAnsi="黑体" w:eastAsia="黑体" w:cs="黑体"/>
          <w:b w:val="0"/>
          <w:bCs w:val="0"/>
          <w:i w:val="0"/>
          <w:iCs w:val="0"/>
          <w:caps w:val="0"/>
          <w:color w:val="auto"/>
          <w:spacing w:val="0"/>
          <w:sz w:val="32"/>
          <w:szCs w:val="32"/>
          <w:highlight w:val="none"/>
          <w:shd w:val="clear" w:fill="FFFFFF"/>
          <w:lang w:val="en-US" w:eastAsia="zh-CN"/>
        </w:rPr>
        <w:t>安全生产</w:t>
      </w:r>
      <w:r>
        <w:rPr>
          <w:rFonts w:hint="eastAsia" w:ascii="黑体" w:hAnsi="黑体" w:eastAsia="黑体" w:cs="黑体"/>
          <w:b w:val="0"/>
          <w:bCs w:val="0"/>
          <w:i w:val="0"/>
          <w:iCs w:val="0"/>
          <w:caps w:val="0"/>
          <w:color w:val="auto"/>
          <w:spacing w:val="0"/>
          <w:sz w:val="32"/>
          <w:szCs w:val="32"/>
          <w:highlight w:val="none"/>
          <w:shd w:val="clear" w:fill="FFFFFF"/>
        </w:rPr>
        <w:t>运行</w:t>
      </w:r>
    </w:p>
    <w:p w14:paraId="62B9D9D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风电、光伏发电项目工程完成后，投资主体应严格按照国家相关规定及标准，完成新能源并网检测和相关设备运行调试工作，确保设备正常运行。</w:t>
      </w:r>
      <w:r>
        <w:rPr>
          <w:rFonts w:hint="eastAsia" w:ascii="仿宋_GB2312" w:hAnsi="仿宋_GB2312" w:eastAsia="仿宋_GB2312" w:cs="仿宋_GB2312"/>
          <w:sz w:val="32"/>
          <w:szCs w:val="32"/>
          <w:highlight w:val="none"/>
          <w:lang w:eastAsia="zh-CN"/>
        </w:rPr>
        <w:t>除豁免情形外，风电、光伏发电项目建成投运后，应按规定申请取得发电类电力业务许可证。</w:t>
      </w:r>
    </w:p>
    <w:p w14:paraId="24A488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一</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Style w:val="8"/>
          <w:rFonts w:hint="eastAsia" w:ascii="仿宋_GB2312" w:hAnsi="微软雅黑" w:eastAsia="仿宋_GB2312" w:cs="仿宋_GB2312"/>
          <w:b w:val="0"/>
          <w:bCs w:val="0"/>
          <w:i w:val="0"/>
          <w:iCs w:val="0"/>
          <w:caps w:val="0"/>
          <w:color w:val="auto"/>
          <w:spacing w:val="0"/>
          <w:sz w:val="31"/>
          <w:szCs w:val="31"/>
          <w:highlight w:val="none"/>
          <w:shd w:val="clear" w:fill="FFFFFF"/>
          <w:lang w:eastAsia="zh-CN"/>
        </w:rPr>
        <w:t>风电、光伏发电项目应建立风电、光伏发电功率预测系统，电网调度机构根据其提供的发电功率预测情况，在确保电网安全稳定运行的前提下，优先保障风电、光伏发电项目电量收购，提高可再生能源电力消纳水平。电网企业、电力调度机构、电力交易机构等电力市场主题共同承担全省风电、光伏发电消纳责任。</w:t>
      </w:r>
    </w:p>
    <w:p w14:paraId="400A65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投资主体应建立健全安全生产责任制度，</w:t>
      </w:r>
      <w:r>
        <w:rPr>
          <w:rFonts w:hint="eastAsia" w:ascii="仿宋_GB2312" w:hAnsi="微软雅黑" w:eastAsia="仿宋_GB2312" w:cs="仿宋_GB2312"/>
          <w:b w:val="0"/>
          <w:bCs w:val="0"/>
          <w:i w:val="0"/>
          <w:iCs w:val="0"/>
          <w:caps w:val="0"/>
          <w:color w:val="auto"/>
          <w:spacing w:val="0"/>
          <w:sz w:val="31"/>
          <w:szCs w:val="31"/>
          <w:highlight w:val="none"/>
          <w:shd w:val="clear" w:fill="FFFFFF"/>
        </w:rPr>
        <w:t>严格落实安全生产主体责任，</w:t>
      </w:r>
      <w:r>
        <w:rPr>
          <w:rFonts w:hint="eastAsia" w:ascii="仿宋_GB2312" w:hAnsi="微软雅黑" w:eastAsia="仿宋_GB2312" w:cs="仿宋_GB2312"/>
          <w:b w:val="0"/>
          <w:bCs w:val="0"/>
          <w:i w:val="0"/>
          <w:iCs w:val="0"/>
          <w:caps w:val="0"/>
          <w:color w:val="auto"/>
          <w:spacing w:val="0"/>
          <w:sz w:val="32"/>
          <w:szCs w:val="32"/>
          <w:highlight w:val="none"/>
          <w:shd w:val="clear" w:fill="FFFFFF"/>
        </w:rPr>
        <w:t>发生重大事故和设备故障应及时向省级能源主管部门、国家能源局派出机构、电网调度机构报告。</w:t>
      </w:r>
    </w:p>
    <w:p w14:paraId="187EC3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凝冻严重地区的风电</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光伏发电</w:t>
      </w:r>
      <w:r>
        <w:rPr>
          <w:rFonts w:hint="eastAsia" w:ascii="仿宋_GB2312" w:hAnsi="微软雅黑" w:eastAsia="仿宋_GB2312" w:cs="仿宋_GB2312"/>
          <w:b w:val="0"/>
          <w:bCs w:val="0"/>
          <w:i w:val="0"/>
          <w:iCs w:val="0"/>
          <w:caps w:val="0"/>
          <w:color w:val="auto"/>
          <w:spacing w:val="0"/>
          <w:sz w:val="32"/>
          <w:szCs w:val="32"/>
          <w:highlight w:val="none"/>
          <w:shd w:val="clear" w:fill="FFFFFF"/>
        </w:rPr>
        <w:t>项目冬季需采取抗凝冻措施，配置抗冰、融冰设备，</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提高项目利用小时数，</w:t>
      </w:r>
      <w:r>
        <w:rPr>
          <w:rFonts w:hint="eastAsia" w:ascii="仿宋_GB2312" w:hAnsi="微软雅黑" w:eastAsia="仿宋_GB2312" w:cs="仿宋_GB2312"/>
          <w:b w:val="0"/>
          <w:bCs w:val="0"/>
          <w:i w:val="0"/>
          <w:iCs w:val="0"/>
          <w:caps w:val="0"/>
          <w:color w:val="auto"/>
          <w:spacing w:val="0"/>
          <w:sz w:val="32"/>
          <w:szCs w:val="32"/>
          <w:highlight w:val="none"/>
          <w:shd w:val="clear" w:fill="FFFFFF"/>
        </w:rPr>
        <w:t>确保</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设备</w:t>
      </w:r>
      <w:r>
        <w:rPr>
          <w:rFonts w:hint="eastAsia" w:ascii="仿宋_GB2312" w:hAnsi="微软雅黑" w:eastAsia="仿宋_GB2312" w:cs="仿宋_GB2312"/>
          <w:b w:val="0"/>
          <w:bCs w:val="0"/>
          <w:i w:val="0"/>
          <w:iCs w:val="0"/>
          <w:caps w:val="0"/>
          <w:color w:val="auto"/>
          <w:spacing w:val="0"/>
          <w:sz w:val="32"/>
          <w:szCs w:val="32"/>
          <w:highlight w:val="none"/>
          <w:shd w:val="clear" w:fill="FFFFFF"/>
        </w:rPr>
        <w:t>安全稳定运行</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降低对电网的安全影响。</w:t>
      </w:r>
    </w:p>
    <w:p w14:paraId="26EA14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鼓励投资主体积极运用</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智能管理系统和集成运维技术，结合无人机、</w:t>
      </w:r>
      <w:r>
        <w:rPr>
          <w:rFonts w:hint="eastAsia" w:ascii="仿宋_GB2312" w:hAnsi="微软雅黑" w:eastAsia="仿宋_GB2312" w:cs="仿宋_GB2312"/>
          <w:b w:val="0"/>
          <w:bCs w:val="0"/>
          <w:i w:val="0"/>
          <w:iCs w:val="0"/>
          <w:caps w:val="0"/>
          <w:color w:val="auto"/>
          <w:spacing w:val="0"/>
          <w:sz w:val="32"/>
          <w:szCs w:val="32"/>
          <w:highlight w:val="none"/>
          <w:shd w:val="clear" w:fill="FFFFFF"/>
        </w:rPr>
        <w:t>大数据、5G、云平台等先进技术</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和装备</w:t>
      </w:r>
      <w:r>
        <w:rPr>
          <w:rFonts w:hint="eastAsia" w:ascii="仿宋_GB2312" w:hAnsi="微软雅黑" w:eastAsia="仿宋_GB2312" w:cs="仿宋_GB2312"/>
          <w:b w:val="0"/>
          <w:bCs w:val="0"/>
          <w:i w:val="0"/>
          <w:iCs w:val="0"/>
          <w:caps w:val="0"/>
          <w:color w:val="auto"/>
          <w:spacing w:val="0"/>
          <w:sz w:val="32"/>
          <w:szCs w:val="32"/>
          <w:highlight w:val="none"/>
          <w:shd w:val="clear" w:fill="FFFFFF"/>
        </w:rPr>
        <w:t>，科学提升</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安全生产</w:t>
      </w:r>
      <w:r>
        <w:rPr>
          <w:rFonts w:hint="eastAsia" w:ascii="仿宋_GB2312" w:hAnsi="微软雅黑" w:eastAsia="仿宋_GB2312" w:cs="仿宋_GB2312"/>
          <w:b w:val="0"/>
          <w:bCs w:val="0"/>
          <w:i w:val="0"/>
          <w:iCs w:val="0"/>
          <w:caps w:val="0"/>
          <w:color w:val="auto"/>
          <w:spacing w:val="0"/>
          <w:sz w:val="32"/>
          <w:szCs w:val="32"/>
          <w:highlight w:val="none"/>
          <w:shd w:val="clear" w:fill="FFFFFF"/>
        </w:rPr>
        <w:t>管理水平。</w:t>
      </w:r>
    </w:p>
    <w:p w14:paraId="0ACE5CE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五</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项目投资主体须在贵州省可再生能源信息平台按月填报项目生产运行信息，按周更新新建项目进度。根据国家“建档立卡”等要求，做好国家能源局可再生能源发电项目信息管理平台和贵州省“能源云”综合应用管理平台项目相关信息填报。市级和县级能源主管部门督促和指导项目投资主体做好“建档立卡”工作，推进风电、光伏发电项目绿色电力证书全覆盖。</w:t>
      </w:r>
      <w:r>
        <w:rPr>
          <w:rFonts w:hint="eastAsia" w:ascii="仿宋_GB2312" w:hAnsi="微软雅黑" w:eastAsia="仿宋_GB2312" w:cs="仿宋_GB2312"/>
          <w:b w:val="0"/>
          <w:bCs w:val="0"/>
          <w:i w:val="0"/>
          <w:iCs w:val="0"/>
          <w:caps w:val="0"/>
          <w:color w:val="auto"/>
          <w:spacing w:val="0"/>
          <w:kern w:val="0"/>
          <w:sz w:val="32"/>
          <w:szCs w:val="32"/>
          <w:highlight w:val="none"/>
          <w:u w:val="none"/>
          <w:shd w:val="clear" w:fill="FFFFFF"/>
          <w:lang w:val="en-US" w:eastAsia="zh-CN" w:bidi="ar"/>
        </w:rPr>
        <w:t>鼓励</w:t>
      </w:r>
      <w:r>
        <w:rPr>
          <w:rFonts w:hint="eastAsia"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t>风电、光伏发电项目</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投资主体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按照相关</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规则，</w:t>
      </w:r>
      <w:r>
        <w:rPr>
          <w:rFonts w:hint="eastAsia" w:ascii="仿宋_GB2312" w:hAnsi="微软雅黑" w:eastAsia="仿宋_GB2312" w:cs="仿宋_GB2312"/>
          <w:b w:val="0"/>
          <w:bCs w:val="0"/>
          <w:i w:val="0"/>
          <w:iCs w:val="0"/>
          <w:caps w:val="0"/>
          <w:color w:val="auto"/>
          <w:spacing w:val="0"/>
          <w:sz w:val="32"/>
          <w:szCs w:val="32"/>
          <w:highlight w:val="none"/>
          <w:u w:val="none"/>
          <w:shd w:val="clear" w:fill="FFFFFF"/>
          <w:lang w:val="en-US" w:eastAsia="zh-CN"/>
        </w:rPr>
        <w:t>积极参与电力市场化交易和电力现货交易</w:t>
      </w:r>
      <w:r>
        <w:rPr>
          <w:rFonts w:hint="default" w:ascii="仿宋_GB2312" w:hAnsi="微软雅黑" w:eastAsia="仿宋_GB2312" w:cs="仿宋_GB2312"/>
          <w:b w:val="0"/>
          <w:bCs w:val="0"/>
          <w:i w:val="0"/>
          <w:iCs w:val="0"/>
          <w:caps w:val="0"/>
          <w:color w:val="auto"/>
          <w:spacing w:val="0"/>
          <w:sz w:val="32"/>
          <w:szCs w:val="32"/>
          <w:highlight w:val="none"/>
          <w:shd w:val="clear" w:fill="FFFFFF"/>
          <w:lang w:val="en-US" w:eastAsia="zh-CN"/>
        </w:rPr>
        <w:t>。</w:t>
      </w:r>
    </w:p>
    <w:p w14:paraId="2CEE1D0D">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六</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鼓励风电、光伏电站开展改造升级工作，应用先进、高效、安全的技术和设备。风电、</w:t>
      </w:r>
      <w:r>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光伏电站的拆除、设备回收与再利用，应符合国家资源回收利用和生态</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环境、安全生产</w:t>
      </w:r>
      <w:r>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等相关法律法规与政策要求，不得造成环境污染破坏</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与安全事故事件</w:t>
      </w:r>
      <w:r>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，鼓励项目</w:t>
      </w:r>
      <w:r>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投资主体</w:t>
      </w:r>
      <w:r>
        <w:rPr>
          <w:rFonts w:hint="default"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t>为设备回收与再利用创造便利条件。</w:t>
      </w:r>
    </w:p>
    <w:p w14:paraId="2ED891B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仿宋_GB2312"/>
          <w:b w:val="0"/>
          <w:bCs w:val="0"/>
          <w:i w:val="0"/>
          <w:iCs w:val="0"/>
          <w:caps w:val="0"/>
          <w:color w:val="auto"/>
          <w:spacing w:val="0"/>
          <w:kern w:val="0"/>
          <w:sz w:val="32"/>
          <w:szCs w:val="32"/>
          <w:highlight w:val="none"/>
          <w:shd w:val="clear" w:fill="FFFFFF"/>
          <w:lang w:val="en-US" w:eastAsia="zh-CN" w:bidi="ar"/>
        </w:rPr>
      </w:pPr>
    </w:p>
    <w:p w14:paraId="6DAE84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default" w:eastAsia="黑体"/>
          <w:b w:val="0"/>
          <w:bCs w:val="0"/>
          <w:color w:val="auto"/>
          <w:sz w:val="32"/>
          <w:szCs w:val="32"/>
          <w:highlight w:val="none"/>
          <w:lang w:val="en-US" w:eastAsia="zh-CN"/>
        </w:rPr>
      </w:pPr>
      <w:r>
        <w:rPr>
          <w:rFonts w:hint="eastAsia" w:ascii="黑体" w:hAnsi="宋体" w:eastAsia="黑体" w:cs="黑体"/>
          <w:b w:val="0"/>
          <w:bCs w:val="0"/>
          <w:i w:val="0"/>
          <w:iCs w:val="0"/>
          <w:caps w:val="0"/>
          <w:color w:val="auto"/>
          <w:spacing w:val="0"/>
          <w:sz w:val="32"/>
          <w:szCs w:val="32"/>
          <w:highlight w:val="none"/>
          <w:shd w:val="clear" w:fill="FFFFFF"/>
        </w:rPr>
        <w:t>第八章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监督</w:t>
      </w:r>
      <w:r>
        <w:rPr>
          <w:rFonts w:hint="eastAsia" w:ascii="黑体" w:hAnsi="宋体" w:eastAsia="黑体" w:cs="黑体"/>
          <w:b w:val="0"/>
          <w:bCs w:val="0"/>
          <w:i w:val="0"/>
          <w:iCs w:val="0"/>
          <w:caps w:val="0"/>
          <w:color w:val="auto"/>
          <w:spacing w:val="0"/>
          <w:sz w:val="32"/>
          <w:szCs w:val="32"/>
          <w:highlight w:val="none"/>
          <w:shd w:val="clear" w:fill="FFFFFF"/>
          <w:lang w:val="en-US" w:eastAsia="zh-CN"/>
        </w:rPr>
        <w:t>管理</w:t>
      </w:r>
    </w:p>
    <w:p w14:paraId="039B286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七</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省级能源主管部门指导市</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级</w:t>
      </w:r>
      <w:r>
        <w:rPr>
          <w:rFonts w:hint="eastAsia" w:ascii="仿宋_GB2312" w:hAnsi="微软雅黑" w:eastAsia="仿宋_GB2312" w:cs="仿宋_GB2312"/>
          <w:b w:val="0"/>
          <w:bCs w:val="0"/>
          <w:i w:val="0"/>
          <w:iCs w:val="0"/>
          <w:caps w:val="0"/>
          <w:color w:val="auto"/>
          <w:spacing w:val="0"/>
          <w:sz w:val="32"/>
          <w:szCs w:val="32"/>
          <w:highlight w:val="none"/>
          <w:shd w:val="clear" w:fill="FFFFFF"/>
        </w:rPr>
        <w:t>、县级能源主管部门做好项目建设日常监管工作。项目所在地要积极创造良好投资环境，不得向投资主体提出不合理要求。</w:t>
      </w:r>
    </w:p>
    <w:p w14:paraId="2908EDC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八</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投资主体在项目核准备案过程中不得弄虚作假，建设过程中不得出现拖欠农民工工资等违法违规现象。</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对存在失信行为、倒卖年度建设规模“指标”、建设期转让项目控制权、恶意竞争等企业，其项目一律不得纳入年度建设规模；对恶意拖欠农民工工资、发生安全事故、发生生态环境破坏事件等问题的企业，从严控制其项目开发并责令整改，情节严重的依照法律法规追究相关责任。</w:t>
      </w:r>
    </w:p>
    <w:p w14:paraId="56A67CD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三</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九</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电网企业和</w:t>
      </w:r>
      <w:r>
        <w:rPr>
          <w:rFonts w:hint="eastAsia" w:ascii="仿宋_GB2312" w:hAnsi="微软雅黑" w:eastAsia="仿宋_GB2312" w:cs="仿宋_GB2312"/>
          <w:b w:val="0"/>
          <w:bCs w:val="0"/>
          <w:i w:val="0"/>
          <w:iCs w:val="0"/>
          <w:caps w:val="0"/>
          <w:strike w:val="0"/>
          <w:dstrike w:val="0"/>
          <w:color w:val="auto"/>
          <w:spacing w:val="0"/>
          <w:sz w:val="32"/>
          <w:szCs w:val="32"/>
          <w:highlight w:val="none"/>
          <w:shd w:val="clear" w:fill="FFFFFF"/>
          <w:lang w:val="en-US" w:eastAsia="zh-CN"/>
        </w:rPr>
        <w:t>项目投资主体</w:t>
      </w:r>
      <w:r>
        <w:rPr>
          <w:rFonts w:hint="eastAsia" w:ascii="仿宋_GB2312" w:hAnsi="微软雅黑" w:eastAsia="仿宋_GB2312" w:cs="仿宋_GB2312"/>
          <w:b w:val="0"/>
          <w:bCs w:val="0"/>
          <w:i w:val="0"/>
          <w:iCs w:val="0"/>
          <w:caps w:val="0"/>
          <w:color w:val="auto"/>
          <w:spacing w:val="0"/>
          <w:sz w:val="32"/>
          <w:szCs w:val="32"/>
          <w:highlight w:val="none"/>
          <w:shd w:val="clear" w:fill="FFFFFF"/>
        </w:rPr>
        <w:t>应加强信息统计体系建设，建立风电、光伏发电项目生产、并网运行、安全事故等信息收集、统计和管理机制。</w:t>
      </w:r>
    </w:p>
    <w:p w14:paraId="2AEB7C4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p>
    <w:p w14:paraId="7F7C31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right="0"/>
        <w:jc w:val="center"/>
        <w:textAlignment w:val="auto"/>
        <w:rPr>
          <w:b w:val="0"/>
          <w:bCs w:val="0"/>
          <w:color w:val="auto"/>
          <w:sz w:val="32"/>
          <w:szCs w:val="32"/>
          <w:highlight w:val="none"/>
        </w:rPr>
      </w:pPr>
      <w:r>
        <w:rPr>
          <w:rFonts w:hint="eastAsia" w:ascii="黑体" w:hAnsi="宋体" w:eastAsia="黑体" w:cs="黑体"/>
          <w:b w:val="0"/>
          <w:bCs w:val="0"/>
          <w:i w:val="0"/>
          <w:iCs w:val="0"/>
          <w:caps w:val="0"/>
          <w:color w:val="auto"/>
          <w:spacing w:val="0"/>
          <w:sz w:val="32"/>
          <w:szCs w:val="32"/>
          <w:highlight w:val="none"/>
          <w:shd w:val="clear" w:fill="FFFFFF"/>
        </w:rPr>
        <w:t>第九章</w:t>
      </w:r>
      <w:r>
        <w:rPr>
          <w:rFonts w:hint="eastAsia" w:ascii="Times New Roman" w:hAnsi="Times New Roman" w:eastAsia="微软雅黑" w:cs="Times New Roman"/>
          <w:b w:val="0"/>
          <w:bCs w:val="0"/>
          <w:i w:val="0"/>
          <w:iCs w:val="0"/>
          <w:caps w:val="0"/>
          <w:color w:val="auto"/>
          <w:spacing w:val="0"/>
          <w:sz w:val="32"/>
          <w:szCs w:val="32"/>
          <w:highlight w:val="none"/>
          <w:shd w:val="clear" w:fill="FFFFFF"/>
          <w:lang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附</w:t>
      </w:r>
      <w:r>
        <w:rPr>
          <w:rFonts w:hint="eastAsia" w:ascii="黑体" w:hAnsi="宋体" w:eastAsia="黑体" w:cs="黑体"/>
          <w:b w:val="0"/>
          <w:bCs w:val="0"/>
          <w:i w:val="0"/>
          <w:iCs w:val="0"/>
          <w:caps w:val="0"/>
          <w:color w:val="auto"/>
          <w:spacing w:val="0"/>
          <w:sz w:val="32"/>
          <w:szCs w:val="32"/>
          <w:highlight w:val="none"/>
          <w:shd w:val="clear" w:fill="FFFFFF"/>
          <w:lang w:val="en-US" w:eastAsia="zh-CN"/>
        </w:rPr>
        <w:t xml:space="preserve">  </w:t>
      </w:r>
      <w:r>
        <w:rPr>
          <w:rFonts w:hint="eastAsia" w:ascii="黑体" w:hAnsi="宋体" w:eastAsia="黑体" w:cs="黑体"/>
          <w:b w:val="0"/>
          <w:bCs w:val="0"/>
          <w:i w:val="0"/>
          <w:iCs w:val="0"/>
          <w:caps w:val="0"/>
          <w:color w:val="auto"/>
          <w:spacing w:val="0"/>
          <w:sz w:val="32"/>
          <w:szCs w:val="32"/>
          <w:highlight w:val="none"/>
          <w:shd w:val="clear" w:fill="FFFFFF"/>
        </w:rPr>
        <w:t>则</w:t>
      </w:r>
    </w:p>
    <w:p w14:paraId="45CFB3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十条</w:t>
      </w:r>
      <w:r>
        <w:rPr>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本办法自发布之日起实施</w:t>
      </w:r>
      <w:r>
        <w:rPr>
          <w:rFonts w:hint="eastAsia" w:ascii="仿宋_GB2312" w:hAnsi="微软雅黑" w:eastAsia="仿宋_GB2312" w:cs="仿宋_GB2312"/>
          <w:b w:val="0"/>
          <w:bCs w:val="0"/>
          <w:i w:val="0"/>
          <w:iCs w:val="0"/>
          <w:caps w:val="0"/>
          <w:color w:val="auto"/>
          <w:spacing w:val="0"/>
          <w:sz w:val="31"/>
          <w:szCs w:val="31"/>
          <w:highlight w:val="none"/>
          <w:shd w:val="clear" w:fill="FFFFFF"/>
        </w:rPr>
        <w:t>，《贵州省风电光伏发电项目管理暂行办法》</w:t>
      </w:r>
      <w:r>
        <w:rPr>
          <w:rFonts w:hint="eastAsia" w:ascii="仿宋_GB2312" w:hAnsi="微软雅黑" w:eastAsia="仿宋_GB2312" w:cs="仿宋_GB2312"/>
          <w:b w:val="0"/>
          <w:bCs w:val="0"/>
          <w:i w:val="0"/>
          <w:iCs w:val="0"/>
          <w:caps w:val="0"/>
          <w:color w:val="auto"/>
          <w:spacing w:val="0"/>
          <w:sz w:val="31"/>
          <w:szCs w:val="31"/>
          <w:highlight w:val="none"/>
          <w:shd w:val="clear" w:fill="FFFFFF"/>
          <w:lang w:val="en-US" w:eastAsia="zh-CN"/>
        </w:rPr>
        <w:t>废止</w:t>
      </w:r>
      <w:r>
        <w:rPr>
          <w:rFonts w:hint="eastAsia" w:ascii="仿宋_GB2312" w:hAnsi="微软雅黑" w:eastAsia="仿宋_GB2312" w:cs="仿宋_GB2312"/>
          <w:b w:val="0"/>
          <w:bCs w:val="0"/>
          <w:i w:val="0"/>
          <w:iCs w:val="0"/>
          <w:caps w:val="0"/>
          <w:color w:val="auto"/>
          <w:spacing w:val="0"/>
          <w:sz w:val="31"/>
          <w:szCs w:val="31"/>
          <w:highlight w:val="none"/>
          <w:shd w:val="clear" w:fill="FFFFFF"/>
        </w:rPr>
        <w:t>。</w:t>
      </w:r>
    </w:p>
    <w:p w14:paraId="4B042AD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一</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本办法视产业发展和工作情况可适时</w:t>
      </w:r>
      <w:r>
        <w:rPr>
          <w:rFonts w:hint="eastAsia" w:ascii="仿宋_GB2312" w:hAnsi="微软雅黑" w:eastAsia="仿宋_GB2312" w:cs="仿宋_GB2312"/>
          <w:b w:val="0"/>
          <w:bCs w:val="0"/>
          <w:i w:val="0"/>
          <w:iCs w:val="0"/>
          <w:caps w:val="0"/>
          <w:color w:val="auto"/>
          <w:spacing w:val="0"/>
          <w:sz w:val="32"/>
          <w:szCs w:val="32"/>
          <w:highlight w:val="none"/>
          <w:shd w:val="clear" w:fill="FFFFFF"/>
          <w:lang w:eastAsia="zh-CN"/>
        </w:rPr>
        <w:t>调</w:t>
      </w:r>
      <w:r>
        <w:rPr>
          <w:rFonts w:hint="eastAsia" w:ascii="仿宋_GB2312" w:hAnsi="微软雅黑" w:eastAsia="仿宋_GB2312" w:cs="仿宋_GB2312"/>
          <w:b w:val="0"/>
          <w:bCs w:val="0"/>
          <w:i w:val="0"/>
          <w:iCs w:val="0"/>
          <w:caps w:val="0"/>
          <w:color w:val="auto"/>
          <w:spacing w:val="0"/>
          <w:sz w:val="32"/>
          <w:szCs w:val="32"/>
          <w:highlight w:val="none"/>
          <w:shd w:val="clear" w:fill="FFFFFF"/>
        </w:rPr>
        <w:t>整，</w:t>
      </w:r>
      <w:r>
        <w:rPr>
          <w:rFonts w:hint="eastAsia" w:ascii="仿宋_GB2312" w:hAnsi="微软雅黑" w:eastAsia="仿宋_GB2312" w:cs="仿宋_GB2312"/>
          <w:b w:val="0"/>
          <w:bCs w:val="0"/>
          <w:i w:val="0"/>
          <w:iCs w:val="0"/>
          <w:caps w:val="0"/>
          <w:color w:val="auto"/>
          <w:spacing w:val="0"/>
          <w:sz w:val="32"/>
          <w:szCs w:val="32"/>
          <w:highlight w:val="none"/>
          <w:shd w:val="clear" w:fill="FFFFFF"/>
          <w:lang w:val="en-US" w:eastAsia="zh-CN"/>
        </w:rPr>
        <w:t>施行期间国家另有规定的，从其规定。</w:t>
      </w:r>
    </w:p>
    <w:p w14:paraId="2F1F99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b w:val="0"/>
          <w:bCs w:val="0"/>
          <w:color w:val="auto"/>
          <w:sz w:val="32"/>
          <w:szCs w:val="32"/>
          <w:highlight w:val="none"/>
        </w:rPr>
      </w:pPr>
      <w:r>
        <w:rPr>
          <w:rStyle w:val="8"/>
          <w:rFonts w:hint="eastAsia" w:ascii="仿宋_GB2312" w:hAnsi="微软雅黑" w:eastAsia="仿宋_GB2312" w:cs="仿宋_GB2312"/>
          <w:b/>
          <w:bCs/>
          <w:i w:val="0"/>
          <w:iCs w:val="0"/>
          <w:caps w:val="0"/>
          <w:color w:val="auto"/>
          <w:spacing w:val="0"/>
          <w:sz w:val="32"/>
          <w:szCs w:val="32"/>
          <w:highlight w:val="none"/>
          <w:shd w:val="clear" w:fill="FFFFFF"/>
        </w:rPr>
        <w:t>第</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四</w:t>
      </w:r>
      <w:r>
        <w:rPr>
          <w:rStyle w:val="8"/>
          <w:rFonts w:hint="eastAsia" w:ascii="仿宋_GB2312" w:hAnsi="微软雅黑" w:eastAsia="仿宋_GB2312" w:cs="仿宋_GB2312"/>
          <w:b/>
          <w:bCs/>
          <w:i w:val="0"/>
          <w:iCs w:val="0"/>
          <w:caps w:val="0"/>
          <w:color w:val="auto"/>
          <w:spacing w:val="0"/>
          <w:sz w:val="32"/>
          <w:szCs w:val="32"/>
          <w:highlight w:val="none"/>
          <w:shd w:val="clear" w:fill="FFFFFF"/>
        </w:rPr>
        <w:t>十</w:t>
      </w:r>
      <w:r>
        <w:rPr>
          <w:rStyle w:val="8"/>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二</w:t>
      </w:r>
      <w:r>
        <w:rPr>
          <w:rStyle w:val="8"/>
          <w:rFonts w:hint="eastAsia" w:ascii="仿宋_GB2312" w:hAnsi="微软雅黑" w:eastAsia="仿宋_GB2312" w:cs="仿宋_GB2312"/>
          <w:b/>
          <w:bCs/>
          <w:i w:val="0"/>
          <w:iCs w:val="0"/>
          <w:caps w:val="0"/>
          <w:color w:val="auto"/>
          <w:spacing w:val="0"/>
          <w:sz w:val="32"/>
          <w:szCs w:val="32"/>
          <w:highlight w:val="none"/>
          <w:shd w:val="clear" w:fill="FFFFFF"/>
        </w:rPr>
        <w:t>条</w:t>
      </w:r>
      <w:r>
        <w:rPr>
          <w:rFonts w:hint="eastAsia" w:ascii="仿宋_GB2312" w:hAnsi="微软雅黑" w:eastAsia="仿宋_GB2312" w:cs="仿宋_GB2312"/>
          <w:b/>
          <w:bCs/>
          <w:i w:val="0"/>
          <w:iCs w:val="0"/>
          <w:caps w:val="0"/>
          <w:color w:val="auto"/>
          <w:spacing w:val="0"/>
          <w:sz w:val="32"/>
          <w:szCs w:val="32"/>
          <w:highlight w:val="none"/>
          <w:shd w:val="clear" w:fill="FFFFFF"/>
          <w:lang w:val="en-US" w:eastAsia="zh-CN"/>
        </w:rPr>
        <w:t xml:space="preserve">  </w:t>
      </w:r>
      <w:r>
        <w:rPr>
          <w:rFonts w:hint="eastAsia" w:ascii="仿宋_GB2312" w:hAnsi="微软雅黑" w:eastAsia="仿宋_GB2312" w:cs="仿宋_GB2312"/>
          <w:b w:val="0"/>
          <w:bCs w:val="0"/>
          <w:i w:val="0"/>
          <w:iCs w:val="0"/>
          <w:caps w:val="0"/>
          <w:color w:val="auto"/>
          <w:spacing w:val="0"/>
          <w:sz w:val="32"/>
          <w:szCs w:val="32"/>
          <w:highlight w:val="none"/>
          <w:shd w:val="clear" w:fill="FFFFFF"/>
        </w:rPr>
        <w:t>本办法由贵州省能源局负责解释。</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A2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2423160</wp:posOffset>
              </wp:positionH>
              <wp:positionV relativeFrom="paragraph">
                <wp:posOffset>-31750</wp:posOffset>
              </wp:positionV>
              <wp:extent cx="628015" cy="2362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8015" cy="236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E4E1">
                          <w:pPr>
                            <w:pStyle w:val="3"/>
                            <w:rPr>
                              <w:sz w:val="24"/>
                              <w:szCs w:val="40"/>
                            </w:rPr>
                          </w:pPr>
                          <w:r>
                            <w:rPr>
                              <w:sz w:val="24"/>
                              <w:szCs w:val="40"/>
                            </w:rPr>
                            <w:t>—</w:t>
                          </w: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sz w:val="24"/>
                              <w:szCs w:val="4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8pt;margin-top:-2.5pt;height:18.6pt;width:49.45pt;mso-position-horizontal-relative:margin;z-index:251659264;mso-width-relative:page;mso-height-relative:page;" filled="f" stroked="f" coordsize="21600,21600" o:gfxdata="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pi4YXYAAAACQEAAA8AAAAAAAAAAQAgAAAAIgAAAGRycy9kb3ducmV2&#10;LnhtbFBLAQIUABQAAAAIAIdO4kA7rWj2NQIAAGEEAAAOAAAAAAAAAAEAIAAAACcBAABkcnMvZTJv&#10;RG9jLnhtbFBLBQYAAAAABgAGAFkBAADOBQAAAAA=&#10;">
              <v:fill on="f" focussize="0,0"/>
              <v:stroke on="f" weight="0.5pt"/>
              <v:imagedata o:title=""/>
              <o:lock v:ext="edit" aspectratio="f"/>
              <v:textbox inset="0mm,0mm,0mm,0mm">
                <w:txbxContent>
                  <w:p w14:paraId="28BAE4E1">
                    <w:pPr>
                      <w:pStyle w:val="3"/>
                      <w:rPr>
                        <w:sz w:val="24"/>
                        <w:szCs w:val="40"/>
                      </w:rPr>
                    </w:pPr>
                    <w:r>
                      <w:rPr>
                        <w:sz w:val="24"/>
                        <w:szCs w:val="40"/>
                      </w:rPr>
                      <w:t>—</w:t>
                    </w: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GUzMWYxNjg3NTVhOTVjOTU2MjZmMTFlOTFhMWYifQ=="/>
  </w:docVars>
  <w:rsids>
    <w:rsidRoot w:val="00000000"/>
    <w:rsid w:val="00044EF2"/>
    <w:rsid w:val="001D7D62"/>
    <w:rsid w:val="00515C5E"/>
    <w:rsid w:val="005A10FC"/>
    <w:rsid w:val="007279D5"/>
    <w:rsid w:val="00F907CF"/>
    <w:rsid w:val="01631BBE"/>
    <w:rsid w:val="016A5229"/>
    <w:rsid w:val="01892005"/>
    <w:rsid w:val="01B02C2F"/>
    <w:rsid w:val="01E46D89"/>
    <w:rsid w:val="027B277E"/>
    <w:rsid w:val="02D17E26"/>
    <w:rsid w:val="030AD72F"/>
    <w:rsid w:val="030F7D1A"/>
    <w:rsid w:val="034848D2"/>
    <w:rsid w:val="035F6558"/>
    <w:rsid w:val="03B83858"/>
    <w:rsid w:val="03E23094"/>
    <w:rsid w:val="03E312C3"/>
    <w:rsid w:val="043F0BEF"/>
    <w:rsid w:val="044C0C16"/>
    <w:rsid w:val="046B5540"/>
    <w:rsid w:val="04E24955"/>
    <w:rsid w:val="04ED23F9"/>
    <w:rsid w:val="052676B9"/>
    <w:rsid w:val="057C552B"/>
    <w:rsid w:val="057E7C76"/>
    <w:rsid w:val="059B7057"/>
    <w:rsid w:val="0753468D"/>
    <w:rsid w:val="077737BE"/>
    <w:rsid w:val="08907C6B"/>
    <w:rsid w:val="089768DC"/>
    <w:rsid w:val="08B7753B"/>
    <w:rsid w:val="09491D98"/>
    <w:rsid w:val="09E013D8"/>
    <w:rsid w:val="0A7D6E41"/>
    <w:rsid w:val="0B52745A"/>
    <w:rsid w:val="0C19598C"/>
    <w:rsid w:val="0CA912FB"/>
    <w:rsid w:val="0CA94A7A"/>
    <w:rsid w:val="0CB9009F"/>
    <w:rsid w:val="0D2B75CC"/>
    <w:rsid w:val="0D406E04"/>
    <w:rsid w:val="0DA06E2F"/>
    <w:rsid w:val="0DB00467"/>
    <w:rsid w:val="0E2944A5"/>
    <w:rsid w:val="0E2949C6"/>
    <w:rsid w:val="0E4868F2"/>
    <w:rsid w:val="0F2B1696"/>
    <w:rsid w:val="0F53554E"/>
    <w:rsid w:val="0F874E16"/>
    <w:rsid w:val="0F97104E"/>
    <w:rsid w:val="0FB15AB2"/>
    <w:rsid w:val="0FB82A9F"/>
    <w:rsid w:val="11586556"/>
    <w:rsid w:val="11894686"/>
    <w:rsid w:val="119C142F"/>
    <w:rsid w:val="11D84431"/>
    <w:rsid w:val="12C053F3"/>
    <w:rsid w:val="12D66407"/>
    <w:rsid w:val="12E8656E"/>
    <w:rsid w:val="12F5226D"/>
    <w:rsid w:val="13404DFB"/>
    <w:rsid w:val="13566593"/>
    <w:rsid w:val="137D2B9A"/>
    <w:rsid w:val="139E3AE8"/>
    <w:rsid w:val="1424570B"/>
    <w:rsid w:val="148A5142"/>
    <w:rsid w:val="152A1F55"/>
    <w:rsid w:val="156F7412"/>
    <w:rsid w:val="15AA7221"/>
    <w:rsid w:val="16161084"/>
    <w:rsid w:val="163765A8"/>
    <w:rsid w:val="16727119"/>
    <w:rsid w:val="168A4096"/>
    <w:rsid w:val="16BE238C"/>
    <w:rsid w:val="16CD4B69"/>
    <w:rsid w:val="17162C2F"/>
    <w:rsid w:val="185373C6"/>
    <w:rsid w:val="185D743E"/>
    <w:rsid w:val="18D94773"/>
    <w:rsid w:val="191B1BF1"/>
    <w:rsid w:val="195C2EBB"/>
    <w:rsid w:val="1A1C3C44"/>
    <w:rsid w:val="1A421DB2"/>
    <w:rsid w:val="1A68285F"/>
    <w:rsid w:val="1AE87493"/>
    <w:rsid w:val="1B654250"/>
    <w:rsid w:val="1C555369"/>
    <w:rsid w:val="1C692EAB"/>
    <w:rsid w:val="1D1A00CF"/>
    <w:rsid w:val="1D465BD9"/>
    <w:rsid w:val="1D9D2F79"/>
    <w:rsid w:val="1E2D340E"/>
    <w:rsid w:val="1EE73F05"/>
    <w:rsid w:val="1EEF22C4"/>
    <w:rsid w:val="1F232ECB"/>
    <w:rsid w:val="1F3828D0"/>
    <w:rsid w:val="1FBF53E5"/>
    <w:rsid w:val="20806535"/>
    <w:rsid w:val="20A83220"/>
    <w:rsid w:val="20BA49BF"/>
    <w:rsid w:val="20C90A9C"/>
    <w:rsid w:val="213006E6"/>
    <w:rsid w:val="217F456C"/>
    <w:rsid w:val="22623FCE"/>
    <w:rsid w:val="227D2CE6"/>
    <w:rsid w:val="23D6002D"/>
    <w:rsid w:val="240740A7"/>
    <w:rsid w:val="24141463"/>
    <w:rsid w:val="24CE3F11"/>
    <w:rsid w:val="25535523"/>
    <w:rsid w:val="25A31656"/>
    <w:rsid w:val="25B00611"/>
    <w:rsid w:val="25BC2A0E"/>
    <w:rsid w:val="25C24D84"/>
    <w:rsid w:val="25D647F8"/>
    <w:rsid w:val="26306760"/>
    <w:rsid w:val="264404F7"/>
    <w:rsid w:val="26BF5F24"/>
    <w:rsid w:val="274E2D73"/>
    <w:rsid w:val="27885207"/>
    <w:rsid w:val="280B0E76"/>
    <w:rsid w:val="285D25F8"/>
    <w:rsid w:val="286A6114"/>
    <w:rsid w:val="28732366"/>
    <w:rsid w:val="287F7C0E"/>
    <w:rsid w:val="288822B5"/>
    <w:rsid w:val="29CF0977"/>
    <w:rsid w:val="2A580161"/>
    <w:rsid w:val="2A6A287B"/>
    <w:rsid w:val="2ACF41CB"/>
    <w:rsid w:val="2AD927AB"/>
    <w:rsid w:val="2B4C1378"/>
    <w:rsid w:val="2BFC7AC3"/>
    <w:rsid w:val="2C175B64"/>
    <w:rsid w:val="2C276767"/>
    <w:rsid w:val="2C3A325D"/>
    <w:rsid w:val="2C5D75B5"/>
    <w:rsid w:val="2CA64AB8"/>
    <w:rsid w:val="2CE90632"/>
    <w:rsid w:val="2D522FC5"/>
    <w:rsid w:val="2D760F49"/>
    <w:rsid w:val="2D7B7CE9"/>
    <w:rsid w:val="2E1611C8"/>
    <w:rsid w:val="2E1F7588"/>
    <w:rsid w:val="2E89762E"/>
    <w:rsid w:val="2E922095"/>
    <w:rsid w:val="2EAD4823"/>
    <w:rsid w:val="2F884949"/>
    <w:rsid w:val="2FBA60BC"/>
    <w:rsid w:val="2FC36147"/>
    <w:rsid w:val="2FDB474A"/>
    <w:rsid w:val="30240D0F"/>
    <w:rsid w:val="303B2136"/>
    <w:rsid w:val="303B4C3F"/>
    <w:rsid w:val="304F36B8"/>
    <w:rsid w:val="305B28C9"/>
    <w:rsid w:val="305E56A9"/>
    <w:rsid w:val="30F949CF"/>
    <w:rsid w:val="310752F5"/>
    <w:rsid w:val="312406A1"/>
    <w:rsid w:val="323439F6"/>
    <w:rsid w:val="32515FB6"/>
    <w:rsid w:val="345679FC"/>
    <w:rsid w:val="345A21FC"/>
    <w:rsid w:val="34CC56D4"/>
    <w:rsid w:val="355552CD"/>
    <w:rsid w:val="3563F0AE"/>
    <w:rsid w:val="357E0CC8"/>
    <w:rsid w:val="357E3390"/>
    <w:rsid w:val="35956011"/>
    <w:rsid w:val="35C72385"/>
    <w:rsid w:val="36785717"/>
    <w:rsid w:val="36CB072C"/>
    <w:rsid w:val="36FB4CC5"/>
    <w:rsid w:val="3780410B"/>
    <w:rsid w:val="37AF72D3"/>
    <w:rsid w:val="383A176D"/>
    <w:rsid w:val="38615BCA"/>
    <w:rsid w:val="38B60726"/>
    <w:rsid w:val="39167469"/>
    <w:rsid w:val="396B7A79"/>
    <w:rsid w:val="3991089E"/>
    <w:rsid w:val="39B32F0A"/>
    <w:rsid w:val="3A15574A"/>
    <w:rsid w:val="3AAA1C17"/>
    <w:rsid w:val="3AC90768"/>
    <w:rsid w:val="3BBE7635"/>
    <w:rsid w:val="3C325326"/>
    <w:rsid w:val="3CC044ED"/>
    <w:rsid w:val="3D6469F5"/>
    <w:rsid w:val="3E613254"/>
    <w:rsid w:val="3E6D4B50"/>
    <w:rsid w:val="3EDB2CE7"/>
    <w:rsid w:val="3EE17AE0"/>
    <w:rsid w:val="3F301CFB"/>
    <w:rsid w:val="3F4A593F"/>
    <w:rsid w:val="3F577E93"/>
    <w:rsid w:val="3F6C08A3"/>
    <w:rsid w:val="3F885BC1"/>
    <w:rsid w:val="3FA21791"/>
    <w:rsid w:val="3FC33BF9"/>
    <w:rsid w:val="406229AA"/>
    <w:rsid w:val="40B2553A"/>
    <w:rsid w:val="4109577E"/>
    <w:rsid w:val="410B0680"/>
    <w:rsid w:val="417C4F1D"/>
    <w:rsid w:val="41ED4679"/>
    <w:rsid w:val="42BD1277"/>
    <w:rsid w:val="42ED4A69"/>
    <w:rsid w:val="431A6548"/>
    <w:rsid w:val="433E2DD4"/>
    <w:rsid w:val="43A77F22"/>
    <w:rsid w:val="4536616B"/>
    <w:rsid w:val="456839B7"/>
    <w:rsid w:val="4583274A"/>
    <w:rsid w:val="467F7C66"/>
    <w:rsid w:val="46886F95"/>
    <w:rsid w:val="47241A8E"/>
    <w:rsid w:val="47E45662"/>
    <w:rsid w:val="47EA03B1"/>
    <w:rsid w:val="47F72214"/>
    <w:rsid w:val="4847319B"/>
    <w:rsid w:val="4888625C"/>
    <w:rsid w:val="495530D3"/>
    <w:rsid w:val="4966700B"/>
    <w:rsid w:val="49CC500E"/>
    <w:rsid w:val="49DA6ABF"/>
    <w:rsid w:val="49E113CD"/>
    <w:rsid w:val="4A0D74B7"/>
    <w:rsid w:val="4A45783B"/>
    <w:rsid w:val="4A84548A"/>
    <w:rsid w:val="4B390C64"/>
    <w:rsid w:val="4C3E6663"/>
    <w:rsid w:val="4C834382"/>
    <w:rsid w:val="4C885B30"/>
    <w:rsid w:val="4CB30DFF"/>
    <w:rsid w:val="4D9E2555"/>
    <w:rsid w:val="4DCB4939"/>
    <w:rsid w:val="4DDA1E19"/>
    <w:rsid w:val="4E9C02BC"/>
    <w:rsid w:val="4F381A8F"/>
    <w:rsid w:val="4F7F1FC9"/>
    <w:rsid w:val="4F8378CD"/>
    <w:rsid w:val="4F8A3064"/>
    <w:rsid w:val="4FD407DF"/>
    <w:rsid w:val="50205B95"/>
    <w:rsid w:val="502D6ABE"/>
    <w:rsid w:val="5060217C"/>
    <w:rsid w:val="50776004"/>
    <w:rsid w:val="50840A87"/>
    <w:rsid w:val="50F50D01"/>
    <w:rsid w:val="511E63EE"/>
    <w:rsid w:val="516C5A20"/>
    <w:rsid w:val="51FF0DA4"/>
    <w:rsid w:val="52BD6C15"/>
    <w:rsid w:val="53004672"/>
    <w:rsid w:val="5334256E"/>
    <w:rsid w:val="534558E3"/>
    <w:rsid w:val="534E5E76"/>
    <w:rsid w:val="535E1248"/>
    <w:rsid w:val="537B019D"/>
    <w:rsid w:val="539B25ED"/>
    <w:rsid w:val="539F20DD"/>
    <w:rsid w:val="53F26553"/>
    <w:rsid w:val="541B0CC2"/>
    <w:rsid w:val="54AC5CCD"/>
    <w:rsid w:val="54B55930"/>
    <w:rsid w:val="54BF6A11"/>
    <w:rsid w:val="54CE4AE4"/>
    <w:rsid w:val="54F666AF"/>
    <w:rsid w:val="555536D3"/>
    <w:rsid w:val="557E7F28"/>
    <w:rsid w:val="55B17EA6"/>
    <w:rsid w:val="56447B4E"/>
    <w:rsid w:val="56563EDD"/>
    <w:rsid w:val="57926D3D"/>
    <w:rsid w:val="58F6749B"/>
    <w:rsid w:val="597436C4"/>
    <w:rsid w:val="598C4EB2"/>
    <w:rsid w:val="59AC7302"/>
    <w:rsid w:val="5A0709DC"/>
    <w:rsid w:val="5A101823"/>
    <w:rsid w:val="5A3E60A4"/>
    <w:rsid w:val="5A570BE7"/>
    <w:rsid w:val="5B2709B6"/>
    <w:rsid w:val="5B5648CD"/>
    <w:rsid w:val="5B5E40DD"/>
    <w:rsid w:val="5B6C0877"/>
    <w:rsid w:val="5BBC1352"/>
    <w:rsid w:val="5C2600F7"/>
    <w:rsid w:val="5D281706"/>
    <w:rsid w:val="5DF4767B"/>
    <w:rsid w:val="5DFC2774"/>
    <w:rsid w:val="5E936747"/>
    <w:rsid w:val="5ECC3FA2"/>
    <w:rsid w:val="5EE237C6"/>
    <w:rsid w:val="5EFB46F7"/>
    <w:rsid w:val="5EFBFEB9"/>
    <w:rsid w:val="5FB73143"/>
    <w:rsid w:val="61700757"/>
    <w:rsid w:val="61E82F1E"/>
    <w:rsid w:val="621E4B15"/>
    <w:rsid w:val="622134F2"/>
    <w:rsid w:val="622639C9"/>
    <w:rsid w:val="62277716"/>
    <w:rsid w:val="6252443B"/>
    <w:rsid w:val="62A425F6"/>
    <w:rsid w:val="62D010F4"/>
    <w:rsid w:val="62E92531"/>
    <w:rsid w:val="62FA5F78"/>
    <w:rsid w:val="63512CC8"/>
    <w:rsid w:val="638E6878"/>
    <w:rsid w:val="63931953"/>
    <w:rsid w:val="64055EEE"/>
    <w:rsid w:val="64971511"/>
    <w:rsid w:val="64A278A9"/>
    <w:rsid w:val="65B1042B"/>
    <w:rsid w:val="65FF06C4"/>
    <w:rsid w:val="66014531"/>
    <w:rsid w:val="66291CDA"/>
    <w:rsid w:val="667E1375"/>
    <w:rsid w:val="66912B2E"/>
    <w:rsid w:val="66A52B4E"/>
    <w:rsid w:val="66B477F6"/>
    <w:rsid w:val="677E3A5B"/>
    <w:rsid w:val="678371C8"/>
    <w:rsid w:val="68351DBB"/>
    <w:rsid w:val="68AD14DC"/>
    <w:rsid w:val="68CB7E7A"/>
    <w:rsid w:val="68F4037D"/>
    <w:rsid w:val="694B2B30"/>
    <w:rsid w:val="699937E6"/>
    <w:rsid w:val="69C42446"/>
    <w:rsid w:val="6A386990"/>
    <w:rsid w:val="6A99742E"/>
    <w:rsid w:val="6AA852B5"/>
    <w:rsid w:val="6AF428B7"/>
    <w:rsid w:val="6B3635C4"/>
    <w:rsid w:val="6B417EB3"/>
    <w:rsid w:val="6B447BE0"/>
    <w:rsid w:val="6BA35D3A"/>
    <w:rsid w:val="6BD50D08"/>
    <w:rsid w:val="6C066D46"/>
    <w:rsid w:val="6C2045B7"/>
    <w:rsid w:val="6C447689"/>
    <w:rsid w:val="6C831372"/>
    <w:rsid w:val="6CAE0071"/>
    <w:rsid w:val="6CBF6F1A"/>
    <w:rsid w:val="6CE801F9"/>
    <w:rsid w:val="6CFE6AB9"/>
    <w:rsid w:val="6E257A4F"/>
    <w:rsid w:val="6EB54AF5"/>
    <w:rsid w:val="6EF90AB4"/>
    <w:rsid w:val="6F0D650B"/>
    <w:rsid w:val="6FDB5DF3"/>
    <w:rsid w:val="70B227A8"/>
    <w:rsid w:val="70D921C0"/>
    <w:rsid w:val="71936DE6"/>
    <w:rsid w:val="71D267FC"/>
    <w:rsid w:val="722F3512"/>
    <w:rsid w:val="72853576"/>
    <w:rsid w:val="729D42E2"/>
    <w:rsid w:val="72CB0CEB"/>
    <w:rsid w:val="731A29A4"/>
    <w:rsid w:val="731F400F"/>
    <w:rsid w:val="739E6A80"/>
    <w:rsid w:val="73D2162B"/>
    <w:rsid w:val="747D391D"/>
    <w:rsid w:val="75D15DC3"/>
    <w:rsid w:val="7668647A"/>
    <w:rsid w:val="772207AC"/>
    <w:rsid w:val="781B0B0C"/>
    <w:rsid w:val="782A14D2"/>
    <w:rsid w:val="784A1D68"/>
    <w:rsid w:val="7869244C"/>
    <w:rsid w:val="794734DD"/>
    <w:rsid w:val="79802632"/>
    <w:rsid w:val="79A550F1"/>
    <w:rsid w:val="7A0E5017"/>
    <w:rsid w:val="7A114C53"/>
    <w:rsid w:val="7A9C24FE"/>
    <w:rsid w:val="7B391F11"/>
    <w:rsid w:val="7B5A51ED"/>
    <w:rsid w:val="7C3106B9"/>
    <w:rsid w:val="7C480CB4"/>
    <w:rsid w:val="7CCD740C"/>
    <w:rsid w:val="7CD46E74"/>
    <w:rsid w:val="7D0B3EF6"/>
    <w:rsid w:val="7D5B424D"/>
    <w:rsid w:val="7D87580C"/>
    <w:rsid w:val="7DBF0B02"/>
    <w:rsid w:val="7E407FEE"/>
    <w:rsid w:val="7E7A0C20"/>
    <w:rsid w:val="7E9F5AF0"/>
    <w:rsid w:val="7EA05037"/>
    <w:rsid w:val="7ED06A1C"/>
    <w:rsid w:val="7EDB5E10"/>
    <w:rsid w:val="7EF25A1F"/>
    <w:rsid w:val="7F007294"/>
    <w:rsid w:val="7F1A1F73"/>
    <w:rsid w:val="7F1C0B06"/>
    <w:rsid w:val="F5BC650B"/>
    <w:rsid w:val="F9BEB22C"/>
    <w:rsid w:val="FDDE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5290</Words>
  <Characters>5300</Characters>
  <Lines>0</Lines>
  <Paragraphs>0</Paragraphs>
  <TotalTime>4</TotalTime>
  <ScaleCrop>false</ScaleCrop>
  <LinksUpToDate>false</LinksUpToDate>
  <CharactersWithSpaces>5402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2024-11-09T23:05:00Z</dcterms:created>
  <dc:creator>004281</dc:creator>
  <cp:lastModifiedBy>Administrator</cp:lastModifiedBy>
  <cp:lastPrinted>2024-12-17T10:56:00Z</cp:lastPrinted>
  <dcterms:modified xsi:type="dcterms:W3CDTF">2025-02-10T09:13:42Z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80317C491D9049388EA0F52DCD19A3AC_13</vt:lpwstr>
  </property>
  <property fmtid="{D5CDD505-2E9C-101B-9397-08002B2CF9AE}" pid="4" name="KSOTemplateDocerSaveRecord">
    <vt:lpwstr>eyJoZGlkIjoiOWE2MTljZGM3ZmRlMDNjMGNkYTcxOWMxYmRjNjEwMGUiLCJ1c2VySWQiOiI1ODI4OTAwNzQifQ==</vt:lpwstr>
  </property>
</Properties>
</file>