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outlineLvl w:val="0"/>
        <w:rPr>
          <w:rFonts w:cs="Calibri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val="en-US" w:eastAsia="zh-CN" w:bidi="ar"/>
        </w:rPr>
        <w:t>国家级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  <w:lang w:bidi="ar"/>
        </w:rPr>
        <w:t>绿色矿山建设评价指标</w:t>
      </w:r>
    </w:p>
    <w:tbl>
      <w:tblPr>
        <w:tblStyle w:val="3"/>
        <w:tblW w:w="15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4"/>
        <w:gridCol w:w="7104"/>
        <w:gridCol w:w="5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先决条件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  <w:t>要求</w:t>
            </w:r>
          </w:p>
        </w:tc>
        <w:tc>
          <w:tcPr>
            <w:tcW w:w="584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手续齐全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证照合法有效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《采矿许可证》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《安全生产许可证》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《营业执照》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证照合法有效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依法办理环评和排污许可手续，并依法完成竣工环保验收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584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 xml:space="preserve">               合格    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 xml:space="preserve">             不合格    □</w:t>
            </w:r>
          </w:p>
          <w:p>
            <w:pPr>
              <w:widowControl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满足所有先决条件方可进行打分评价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其中1条不满足的，即为不合格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三年内未受行政处罚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或已整改到位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近三年内（自遴选通知下发之日起前三年），未受到自然资源和生态环境等部门行政处罚，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或受到处罚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在履行期限内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已执行到位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（出具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），且未发生过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较大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及以上安全生产事故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环境事件的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584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矿业权人异常名录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矿山参加遴选期间，矿业权人未被列入矿业权人勘查开采信息公示异常名录。</w:t>
            </w:r>
          </w:p>
        </w:tc>
        <w:tc>
          <w:tcPr>
            <w:tcW w:w="584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矿山要求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矿山近三年内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正常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运营，且剩余储量可采年限（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储量年度报告）不少于三年。</w:t>
            </w:r>
          </w:p>
        </w:tc>
        <w:tc>
          <w:tcPr>
            <w:tcW w:w="584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2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矿区范围</w:t>
            </w:r>
          </w:p>
        </w:tc>
        <w:tc>
          <w:tcPr>
            <w:tcW w:w="710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矿区范围未涉及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生态保护红线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国家有规定的除外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符合国土空间规划及规划环评要求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</w:p>
        </w:tc>
        <w:tc>
          <w:tcPr>
            <w:tcW w:w="584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</w:tbl>
    <w:p/>
    <w:tbl>
      <w:tblPr>
        <w:tblStyle w:val="3"/>
        <w:tblW w:w="15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50"/>
        <w:gridCol w:w="2"/>
        <w:gridCol w:w="1130"/>
        <w:gridCol w:w="672"/>
        <w:gridCol w:w="5300"/>
        <w:gridCol w:w="950"/>
        <w:gridCol w:w="2563"/>
        <w:gridCol w:w="915"/>
        <w:gridCol w:w="915"/>
        <w:gridCol w:w="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tblHeader/>
          <w:jc w:val="center"/>
        </w:trPr>
        <w:tc>
          <w:tcPr>
            <w:tcW w:w="1074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一级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指标</w:t>
            </w: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二级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eastAsia="zh-CN"/>
              </w:rPr>
              <w:t>指标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三级指标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标准分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评分说明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考核方法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依据或标准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指标属性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检查记录</w:t>
            </w: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一、矿区环境(7项，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分)</w:t>
            </w: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1矿容矿貌（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1功能分区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生产区、管理区、生活区进行功能分区，符合分区要求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管理区、生活区分区不明显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生产区、管理区分区不明显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1.5分。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矿区总平面布置图或示意图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《工业企业总平面设计规范》（GB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50187）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2配套设施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矿区地面运输、供水、供电等配套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设施齐全、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正常运行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食堂、澡堂、厕所等设施齐全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整洁规范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对矿区建筑、构筑物及时维护、维修或粉刷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生产区、管理区、生活区的所有场所不存在私搭乱建等临时建筑、废弃建构筑物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，发现一处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矿区总平面布置图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3标识标牌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区按要求设置操作提示牌、说明牌、线路示意图牌等各类标牌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标牌的尺寸、形状、颜色设置符合规定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，发现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0.2分。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《标牌》（GB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/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T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 xml:space="preserve"> 13306）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4定置管理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设备、物资材料规范管理，做到分类分区、摆放有序、堆码整齐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5清洁卫生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矿区保持清洁卫生，主干道路表面平整、密实和粗糙度适当，内部道路或专用道路及时清理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洒落物，生产区及管理区无垃圾、无废石乱扔乱放，生产现场管线无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、冒、滴、漏现象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0.5分。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《厂矿道路设计规范》（GBJ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22）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2矿区绿化美化（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6矿区绿化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可绿化区域实现全覆盖，且无大面积表土裸露。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/>
              </w:rPr>
              <w:t>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可绿化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区域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是指除采场、建筑覆盖区、硬化地面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不宜进行绿化区域以外的区域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7绿化效果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绿化植物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以本土物种为主，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搭配合理，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与周边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环境协调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一致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符合当地气候条件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/>
              </w:rPr>
              <w:t>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提升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二、资源开采（4项，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开采活动（1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8开采方式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露天开采：</w:t>
            </w:r>
          </w:p>
          <w:p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露天开采采用自上而下分台阶开采，符合开采设计要求。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坚持采剥并举、剥离先行的原则，优化开采布局，选择合理工艺，科学制定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/>
              </w:rPr>
              <w:t>采排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计划，尽量减少对地表的破坏。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地下开采方法和顺序合理，符合开采设计要求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开采技术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生态环境保护要求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开采设计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9开采技术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露天开采：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①钻孔：采用湿式、干式（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收尘）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凿岩作业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②爆破：采用微差爆破、预裂爆破、光面爆破等爆破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作业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装：采用大型化自动化液压铲装设备、液压挖掘机或装载机、自卸式矿车、大型自移式破碎机等先进设备进行铲装作业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④排土：生产期采用分期内排技术，最大化利用内排土场排土，减少外部土地占用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（兼备地下和露天开采的，以现阶段主要开采方式选择其一进行评分，分数不可累加）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地下开采：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采用减轻地表沉陷变形、减少对土壤和地下水污染的开采方式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充填法、保水开采等技术进行地下开采，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得3分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widowControl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利用采空区规模化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环保化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处置尾矿、废石、煤矸石等，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得3分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③应用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开采、深部开采等先进开采技术，得2分。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（兼备地下和露天开采的，以现阶段主要开采方式选择其一进行评分，分数不可累加）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石油天然气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矿泉水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等：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①采用电动钻机及顶驱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等钻井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装置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得2分；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②采用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快、控压等钻井技术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得2分；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③采用环保型钻井液及循环利用技术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得2分；</w:t>
            </w:r>
          </w:p>
          <w:p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④及时无害化处置钻井泥浆等钻井废弃物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得2分。</w:t>
            </w:r>
          </w:p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工艺技术装备资料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10开采回采率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开采回采率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矿产资源合理开发利用“三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”指标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。符合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自然资源部发布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”指标要求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开采工作面（5分）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11质量要求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露天开采：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作业平台干净，保持平整、通畅，无杂物、无积水，工作台阶与非工作台阶坡面无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石，非工作台阶滚落物及时清理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1分。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地下开采：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工作面满足通风、运输、行人、设备安装、检修的需要，支护完好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无较大面积积水、无浮碴、无杂物，材料堆放整齐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1分。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适用于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石油天然气等：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生产作业场地无明显油污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无“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跑冒滴漏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及对井场表层土壤造成污染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钻井废弃物不落地，进行集中无害化处理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发现一处不符合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1分。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★适用于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地热矿泉水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等：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生产作业场所应干净整洁、无污渍；井（泉）及其附属设施保持完好并正常运行，无堵塞或泄露；应建有规范完备的污废水处理设施，正常运行合理处置污水、废水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。符合要求得5分，发现一处不符合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highlight w:val="none"/>
              </w:rPr>
              <w:t>扣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1分。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三、资源综合利用（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项1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分；4项1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3998" w:type="dxa"/>
            <w:gridSpan w:val="10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（1）非金属、化工、黄金、冶金、有色、油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、煤炭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地热、矿泉水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等行业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选矿回收（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12选矿加工工艺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选矿工艺符合设计规范，不得使用国家规定的限制类和淘汰类技术、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工艺和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装备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地热、矿泉水的利用做到资源分级利用、优质优用。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《煤炭洗选工程设计规范》（GB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50359-2016）等矿山选矿工艺设计规范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13选矿回收率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选矿回收率符合矿产资源合理开发利用“三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”指标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自然资源部发布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”指标要求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14共伴生资源综合勘查与评价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矿产资源综合勘查评价规范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进行综合勘查、综合评价。符合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《矿产资源综合勘查评价规范》（GB/T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25283）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提升性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15共伴生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矿产资源综合利用率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共伴生矿产综合利用率达到国家发布的矿产资源合理开发利用“三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”指标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自然资源部发布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“三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</w:rPr>
              <w:t>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”指标要求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16对暂不能开采利用的矿产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对暂不能开采利用的共伴生矿产采取保护措施。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《矿产资源开发利用方案》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，矿山设计，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3固废综合利用（3分）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17工业固废处置与利用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通过回填、铺路、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工程建设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等方式充分利用固体废弃物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剥离表土用于土地复垦、生态修复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1分（无表土的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，直接得1分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渗滤液收集、废水处理、地下水环境监测等尾矿库污染防治设施符合相关法规标准要求，得0.5分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《矿产资源开发利用方案》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《一般工业固体废物贮存和填埋污染控制标准》（GB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18599）《尾矿污染环境防治管理办法》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18回收提取有价元素/有用矿物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鼓励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已有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尾矿、煤矸石、废石等固体废弃物中提取有价元素或有用矿物。符合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，不符合得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生产报表、销售报表、财务报表等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4废水综合利用（5分）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19生产废水综合利用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①配备完备的废水处理设施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并正常运行的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②采用洁净化、资源化技术工艺合理处置矿井水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废水、尾水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得1分。煤矿、黄金等行业矿井水处置率达到100%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不达标不得分。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③选矿废水循环利用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得1分。煤矿矿井水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利用率达到相关标准，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冶金选矿废水循环利用率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不低于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90%，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非金属矿山选矿废水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重复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利用率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不低于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85%，化工行业选矿回水利用率达到100%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地热矿泉水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  <w:lang w:bidi="ar"/>
              </w:rPr>
              <w:t>尾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废水集中处理达标后外排或回灌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不达标不得分。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ind w:left="-22" w:firstLine="25" w:firstLineChars="1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煤炭采选业清洁生产评价指标体系》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（国家发展改革委、生态环境部、工业和信息化部，2019年发布），冶金、非金属、煤炭、化工行业绿色矿山建设规范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20生活污水综合利用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①配备生活污水处理系统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并正常运行的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1分；生活污水处置达标后，用于工业场地浇灌绿化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洒水降尘或其他综合利用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得1分。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企业生活污水直接连入城镇污水处理管网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得2分。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eastAsia="zh-CN" w:bidi="ar-SA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8" w:type="dxa"/>
            <w:gridSpan w:val="10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（2）砂石、水泥灰岩、建筑石材等行业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21开采加工等相关产物综合利用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★适用于砂石、建筑石材等行业：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充分利用石粉、泥粉等矿山开采或加工产物，提高资源化利用水平，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环境治理、土地复垦和土壤改良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★适用于水泥灰岩行业：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结合水泥生产线多种原料配料的特点，实现开采或加工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产各类产物资源化利用，实现资源分级利用、优质优用，实现高品位矿石与低品位矿石、夹层、顶底板围岩等综合利用。符合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2固废综合利用（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22土质剥离物的综合利用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★适用于砂石、建筑石材等行业：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排土场堆放的剥离表土或筛分后的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碴土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、废石等，用于环境治理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土地复垦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、生态修复等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★适用于水泥灰岩行业：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将符合要求的土质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剥离物用作硅铝质原料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或用于土地复垦，其他剥离物用作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水泥配料、砂石骨料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或其他工程用料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3废水综合利用（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23生产废水处置与利用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①配备完善的生产废水处理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系统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2分；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②废水经固液分离处理后，清水得到有效循环利用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得2分。砂石清水循环利用率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达到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100%，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不达标不得分。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生产报表（调度报表）或其他证明材料，砂石行业绿色矿山建设规范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24生活污水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综合利用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①配备生活污水处理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系统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分；生活污水处置达标后，用于工业场地浇灌绿化，洒水降尘或其他综合利用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②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企业生活污水直接连入城镇污水处理管网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得4分。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符合环评批复相关要求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四、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绿色低碳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项，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1节约集约用地（2分）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25节约集约用地情况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矿山用地在满足建设、运输生产等要求前提下，综合考虑土地资源、资金、环境等经济技术条件，按照节约集约原则，进行优化配置和科学利用，充分利用荒地、劣地，少占耕地。符合要求得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《节约集约利用土地规定（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2019年修正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）》《工业项目用地控制指标》《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自然资源部办公厅关于规范开展建设项目节地评价工作的通知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》（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自然资办发〔2021〕14号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提升性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节能降耗（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能源管理体系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有年度能源管理计划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建立全过程能耗管理体系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取得能源管理体系认证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得分不超过1分。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能耗核算体系文件或台账，能源管理体系证书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2" w:type="dxa"/>
            <w:gridSpan w:val="2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单位产品能耗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单位产品能耗符合国家标准。煤矿、铁矿、金矿、有色金属矿有国家标准的，执行国家标准。其他矿种暂无国家标准、行业标准的，以企业近3年能耗等指标均值为依据进行考核，要体现节能降耗进步要求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能耗逐年降低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得2分，不符合得0分。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能耗台账、各行业单位产品能源消耗限额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减碳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碳排放核算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按照规定的核算方法，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对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矿区范围内的温室气体排放进行核算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开展工作的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得2分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未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开展工作的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0分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《工业企业温室气体排放核算和报告通则》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 xml:space="preserve">GB/T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32150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《温室气体排放核算方法与报告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》（GB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/T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32151）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4源头预防（5分）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地下水环境状况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矿区及周边地下水具备使用功能的，其环境状况应达到相关功能限值要求；存在人为因素导致地下水不满足相关功能要求时，应该按照相关标准开展地下水污染风险管控修复，防止地下水污染加重与扩散。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工矿用地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土壤环境管理办法（试行）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》《地下水质量标准》（GB/T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14848）、《污染地块地下水修复和风险管控技术导则》（HJ 25.6）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酸性废水源头预防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评估预测矿山关闭酸性废水产生量及对周边环境影响，在开采和闭矿前综合采用雨水导排、补给控制、矿山回填等措施，预防酸性废水大量产生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《水污染防治法》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土壤污染源头预防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矿山开采区、尾矿库等运营、管理单位应当采取防渗漏等措施，并建设地下水水质监测井进行监测；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建设涉及有毒有害物质的设施设备，应设计、建设和安装有关防腐蚀、防泄漏设施和泄漏监测装置，防止有毒有害物质污染土壤和地下水；构筑物及场地防渗要求符合相关标准的规定。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《水污染防治法》《工矿用地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土壤环境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管理办法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（试行）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》《一般工业固体废物贮存和填埋污染控制标准》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GB 18599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《尾矿库设计规范》（GB 50863）、《有色金属工业环境保护工程设计规范》（GB 50988）、《危险废物贮存污染控制标准》（GB 18597）、《危险废物填埋污染控制标准》（GB 18598）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土壤污染隐患排查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列入土壤污染重点监管单位的企业，应定期对重点区域、重点设施设备开展隐患排查；开展土壤和地下水自行监测；严格控制有毒有害物质排放，并按年度向生态环境主管部门报告排放情况。符合要求得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分，不符合得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分（未列入土壤污染重点监管单位的企业本项直接得分）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《土壤污染防治法》《重点监管单位土壤污染隐患排查指南（试行）》（生态环境部〔2021〕1号公告）、《工业企业土壤和地下水自行监测技术指南（试行）》（HJ 1209）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废物排放（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固废排放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对无法实现综合利用的固体废弃物，划分危险废物、一般废物和生活垃圾不同类别，实现分级分类，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堆场、尾矿库污染防治设施符合相关法规标准要求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并按照国家法律和标准，自行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或委托第三方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一般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固体废弃物进行处置，委托第三方有资质的单位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对危险废物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进行处置。符合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《中华人民共和国固体废物污染环境防治法》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一般工业固体废物贮存、处置场污染控制标准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(GB 18599)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危险废物焚烧、贮存、填埋污染控制标准(GB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18484、18597、18598)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废水排放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清污管路分别铺设、雨水与污水管群分开设置；生活污水经处理后水质达标排放，或污水直接排入市政污水管网；工业废水经处理后水质达标排放；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尾矿库、排土场等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建有雨水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截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（排）水沟，地表径流水、淋溶水等经沉淀后达标排放或处理回用。符合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国家水污染物排放标准（GB 8978、GB 20426、GB 25465、GB 25466、GB 25467、GB 25468、GB 26451、GB 28661、GB 30770等）以及所在省（自治区、直辖市）人民政府发布实施的地方水污染物排放标准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</w:rPr>
              <w:t>废气排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放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在开采、加工、运输、贮存等环节，采取除尘捕尘、抑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降尘、净化废气等措施，实现达标排放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开采过程中的大气污染物排放应符合国家或地方相应排放标准。凿岩作业采用降尘措施，爆破作业喷雾洒水降尘，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生产区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配置洒水车定时洒水降尘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，配备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地面运输车辆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洗车台，对出厂车辆进行清洗，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外运产品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途中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，废石或矿石周转场地、贮存场所具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防扬尘设施。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矿区建筑物上无明显积尘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，矿区周边植被无明显粉尘覆盖。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对矿区粉尘进行定期监测。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国家大气污染物排放标准（GB 4915、GB 9078、GB 16297、GB 20426、GB 25465、GB 25466、GB 25467、GB 25468、GB 26451、GB 28661、GB 30770、GB 41618等）以及所在省（自治区、直辖市）人民政府发布实施的地方大气污染物排放标准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移动源控制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企业使用铁路、水路、封闭式皮带廊道、新能源汽车运输矿石等大宗货物年货运量占比达到70%，得1分。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《深入打好重污染天气消除、臭氧污染防治和柴油货车污染治理攻坚战行动方案》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（生态环境部〔202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68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号公告）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提升性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噪声排放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对矿区凿岩、破碎和空压等高噪声设备进行降噪处理，配备消声、减振和隔振等措施，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厂界噪声排放达标。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对厂界噪声进行定期监测。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《工业企业厂界环境噪声排放标准》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GB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12348-2008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五、生态修复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与环境治理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项，1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1矿山地质环境治理恢复与土地复垦（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矿山地质环境保护与土地复垦方案编制与执行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矿山地质环境保护与土地复垦方案》已通过审查并在适用期；依据《矿山地质环境保护与土地复垦方案》编制了年度计划；执行了年度报告制度；矿山地质环境治理恢复、土地复垦质量符合要求；完成了年度或阶段性目标任务并通过阶段验收。符合要求得5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《矿山地质环境保护与土地复垦方案》及年度计划、《土地复垦质量控制标准》(TD/T 1036) 、《矿山生态修复技术规范》(TD/T 1070)等标准规范。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9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矿山地质环境治理恢复基金计提使用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按相关规定及标准足额计提矿山地质环境治理恢复基金并规范使用，统筹用于开展矿山地质环境治理恢复和土地复垦。符合要求得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《矿山地质环境保护与土地复垦方案》及年度计划、基金监管政策文件及标准规范，其他证明材料等。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2治理要求（5分）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治理效果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</w:rPr>
              <w:t>不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/>
              </w:rPr>
              <w:t>新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设永久排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</w:rPr>
              <w:t>矸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排土场、尾矿库、露天采场、矿区专用道路、矿山工业场地、塌陷区、废石场等区域生态修复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与环境治理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符合要求。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落实“边开采、边修复”要求，矿山生态修复能够分区、分期进行的，要分区、分期开展。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治理后的各类场地对周边环境不产生污染，与周边自然环境相协调，周边水体质量恢复至原水平，区域生态功能得到保护和恢复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分，不符合得0分。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《矿山生态环境保护与恢复治理技术规范》（HJ 651）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《土地复垦质量控制标准》(TD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T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 xml:space="preserve">1036)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</w:rPr>
              <w:t>《矿山生态修复技术规范》(TD/T 1070)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/>
              </w:rPr>
              <w:t>、《生态保护修复成效评估技术指南（试行）》（HJ 1272—2022），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其他文件证明材料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矿山环境动态监测（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动态监测要求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建立动态监测体系，对选矿废水、矿井水、尾矿库、矸石山、排土场、废石堆场、地下水等定期进行环境监测，并根据监测结果，采取了有效保护措施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对地质环境破坏与恢复治理、土地损毁与复垦利用、生态系统破坏（退化）与恢复进行了动态监测。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符合要求得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不符合得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0分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监测记录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《生态保护修复成效评估技术指南（试行）》（HJ 1272—2022）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《矿山生态修复技术规范》(TD/T 1070)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等相关标准规范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其他证明材料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环境管理体系（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环境管理体系要求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建立环境管理机制，有完善的环境管理制度，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配备了必要的环境管理机构和生态环境保护等专业技术人员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有环境管理日常监管记录，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采取了环境风险防范措施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得1分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获得环境管理体系认证，得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查资料、查现场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环境管理制度、突发事件预案、认证证书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《生态保护修复成效评估技术指南（试行）》（HJ 1272—2022）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074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六、科技创新与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规范管理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1科技创新（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研发及技改投入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具有技术研发队伍和专业技术人员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0.5分；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研发及技改投入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不低于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上年度主营业务收入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.5%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0.5分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；完成环评要求的专项研究，得0.5分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最多得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生产报表（调度报表）或其他证明材料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创新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成果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获得1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发明专利得0.5分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，最多得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入选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《节地技术和节地模式推荐目录》或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最新版《矿产资源节约和综合利用先进适用技术目录》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，最多得2分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获得高新技术企业证书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证书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或其他证明材料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2数字化矿山（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集中管控平台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集中管控平台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能够将远程监控系统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自动控制系统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储量管理系统、生态环境监测管理系统等集中在大屏幕展示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。符合要求得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，发现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一项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不符合</w:t>
            </w:r>
            <w:r>
              <w:rPr>
                <w:rFonts w:hint="default" w:ascii="Times New Roman" w:hAnsi="Times New Roman" w:eastAsia="仿宋_GB2312"/>
                <w:color w:val="000000"/>
                <w:kern w:val="0"/>
                <w:szCs w:val="21"/>
                <w:highlight w:val="none"/>
                <w:lang w:bidi="ar"/>
              </w:rPr>
              <w:t>扣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0.5分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智能化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应用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按照</w:t>
            </w:r>
            <w:r>
              <w:rPr>
                <w:rFonts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bidi="ar"/>
              </w:rPr>
              <w:t>智能矿山建设规范》（DZ/T 0376-2021）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等标准开展智能矿山建设。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</w:rPr>
              <w:t>《智能矿山建设规范》（DZ/T 0376-2021）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规范管理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企业文化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制定绿色矿山建设年度计划，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定期开展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自评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制作绿色矿山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宣传展板、标语和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宣传片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建立人员目视化管理制度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；建立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职工收入随企业业绩同步增长机制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；建设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职工休闲、娱乐、文化体育设施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开展活动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职工满意度不低于70%。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符合要求得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1分，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发现一项不符合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扣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查资料、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查现场、调查走访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企业管理文件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、自评材料、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宣传片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活动证明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认证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、证书、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调查问卷原始记录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企业诚信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依法纳税，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按要求提交储量年报、储量表及矿产资源统计基础表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按规定缴存矿业权出让收益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。符合要求得2分，不符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eastAsia="zh-CN" w:bidi="ar"/>
              </w:rPr>
              <w:t>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得0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lang w:bidi="ar"/>
              </w:rPr>
              <w:t>分。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税务及相关部门证明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约束性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1074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2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矿地和谐</w:t>
            </w:r>
          </w:p>
        </w:tc>
        <w:tc>
          <w:tcPr>
            <w:tcW w:w="67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3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建立职业健康管理制度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建立良好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地关系，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制定和公开申诉回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应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制度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，具有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联系机构与人员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及时妥善处理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与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受采矿活动影响的社区等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利益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相关者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间的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纠纷矛盾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/>
                <w:color w:val="auto"/>
                <w:kern w:val="0"/>
                <w:szCs w:val="21"/>
                <w:lang w:bidi="ar"/>
              </w:rPr>
              <w:t>维护当地生产、生活相关生态环境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在劳务用工、基础设施、公益募捐、教育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医疗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支持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一个及以上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方面开展帮扶，助力乡村振兴。符合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 w:bidi="ar"/>
              </w:rPr>
              <w:t>，不符合得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95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查资料、调查走访</w:t>
            </w:r>
          </w:p>
        </w:tc>
        <w:tc>
          <w:tcPr>
            <w:tcW w:w="256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文件、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票据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证明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材料</w:t>
            </w:r>
          </w:p>
        </w:tc>
        <w:tc>
          <w:tcPr>
            <w:tcW w:w="9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约束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性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ind w:left="0" w:leftChars="0"/>
        <w:jc w:val="both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ind w:left="-567" w:leftChars="-27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国家级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绿色矿山建设评价指标》包含先决条件和评分表两部分。先决条件属于否决项，有一项达不到要求，则不能参与绿色矿山遴选工作，各省（区、市）可根据实际情况依法依规增加否决项。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  <w:t>一、计分办法与达标说明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（一）评价指标共4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分约束性指标、提升性指标两类，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分别从矿区环境、资源开采、资源综合利用、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绿色低碳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、生态修复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与环境治理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、科技创新与规范管理六个方面对绿色矿山建设水平进行评分。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（二）约束性指标共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项，所有约束性指标必须得满分，若一项不得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分则不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达标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。提升性指标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项，体现差异性，按评分表内的评分说明进行评分。</w:t>
      </w:r>
    </w:p>
    <w:p>
      <w:pPr>
        <w:ind w:firstLine="640" w:firstLineChars="200"/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（三）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</w:rPr>
        <w:t>不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涉及项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计分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经判定某项指标属于不涉及项的，按大类采用折合法计分。不涉及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highlight w:val="none"/>
          <w:lang/>
        </w:rPr>
        <w:t>项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highlight w:val="none"/>
          <w:lang w:val="en-US" w:eastAsia="zh-CN"/>
        </w:rPr>
        <w:t>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在评分表中明确说明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判定依据和理由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评价指标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总分100分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总得分原则上不低于80分，各省（区、市）自然资源管理部门可在综合要求不降低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前提下，根据各地实际情况适当调整具体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达标线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</w:rPr>
        <w:t>二、评分说明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（一）某一指标评分说明属于扣分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最多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扣完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该项分值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。某一指标评分说明属于增分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最多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增至该项总分。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（二）所有得分必须有依据并要保留证明材料，在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检查记录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栏里写明得到相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分值的原因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缺少支撑材料或证明材料不得分。如需填写内容较多，可在评估报告中重点描述。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（三）对于集中建设的选矿加工等配套系统，应明确关联关系，可统一纳入评估考虑。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（四）对于调查问卷、现场考核、专家打分取平均值等评估方式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需要在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检查记录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说明里进行详细描述。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（五）需要现场查看的内容，在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检查记录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里应写明哪些工作人员到什么现场看了什么内容（设备、设施、厂地、环境、现场等）。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color w:val="000000"/>
        <w:sz w:val="21"/>
        <w:szCs w:val="21"/>
        <w:lang w:val="en-US" w:eastAsia="zh-CN" w:bidi="ar-SA"/>
      </w:rPr>
    </w:pPr>
    <w:r>
      <w:rPr>
        <w:rFonts w:ascii="Calibri" w:hAnsi="Calibri" w:eastAsia="宋体" w:cs="Calibri"/>
        <w:color w:val="000000"/>
        <w:sz w:val="21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jYyZjNmNTc4ZjM3NGNiNTc4MWE5Zjc3ODA1YzUifQ=="/>
  </w:docVars>
  <w:rsids>
    <w:rsidRoot w:val="00000000"/>
    <w:rsid w:val="17FF3F29"/>
    <w:rsid w:val="1DFF0FD8"/>
    <w:rsid w:val="1FDF6E5F"/>
    <w:rsid w:val="2F4B3BEC"/>
    <w:rsid w:val="2FF75DEF"/>
    <w:rsid w:val="39FF050F"/>
    <w:rsid w:val="3DF88B09"/>
    <w:rsid w:val="3EAB0813"/>
    <w:rsid w:val="3EE3E7CD"/>
    <w:rsid w:val="3F5E7B73"/>
    <w:rsid w:val="3FBE5D23"/>
    <w:rsid w:val="3FBFFCA5"/>
    <w:rsid w:val="3FF35094"/>
    <w:rsid w:val="574E8118"/>
    <w:rsid w:val="5BAE170D"/>
    <w:rsid w:val="5BD462C2"/>
    <w:rsid w:val="5D7EA438"/>
    <w:rsid w:val="5EFA7CCD"/>
    <w:rsid w:val="61E7EF69"/>
    <w:rsid w:val="6B7B8B53"/>
    <w:rsid w:val="6DB5EC70"/>
    <w:rsid w:val="6FDB700B"/>
    <w:rsid w:val="734A874B"/>
    <w:rsid w:val="73697162"/>
    <w:rsid w:val="755D3217"/>
    <w:rsid w:val="75ED5D32"/>
    <w:rsid w:val="76F7C8A6"/>
    <w:rsid w:val="777D7236"/>
    <w:rsid w:val="77CDB37E"/>
    <w:rsid w:val="77FFA91D"/>
    <w:rsid w:val="7856695F"/>
    <w:rsid w:val="789732E1"/>
    <w:rsid w:val="78FE481A"/>
    <w:rsid w:val="7B967CA5"/>
    <w:rsid w:val="7BC76C74"/>
    <w:rsid w:val="7BDA2F67"/>
    <w:rsid w:val="7C013D37"/>
    <w:rsid w:val="7DFE0A70"/>
    <w:rsid w:val="7E7FA182"/>
    <w:rsid w:val="7EA88ECF"/>
    <w:rsid w:val="7EDFE6A7"/>
    <w:rsid w:val="7F57255E"/>
    <w:rsid w:val="7FC5E823"/>
    <w:rsid w:val="7FCE7C49"/>
    <w:rsid w:val="7FDCD5F5"/>
    <w:rsid w:val="7FEB5850"/>
    <w:rsid w:val="7FFF820D"/>
    <w:rsid w:val="8CE3016F"/>
    <w:rsid w:val="99FAF632"/>
    <w:rsid w:val="9E1DDE32"/>
    <w:rsid w:val="9FBFABA8"/>
    <w:rsid w:val="AFDC2C70"/>
    <w:rsid w:val="B62F3C99"/>
    <w:rsid w:val="B997F93D"/>
    <w:rsid w:val="BA7B23C6"/>
    <w:rsid w:val="BEA6B462"/>
    <w:rsid w:val="BFEB3481"/>
    <w:rsid w:val="CD3EDDE9"/>
    <w:rsid w:val="D2DB9DAA"/>
    <w:rsid w:val="D7B50B9C"/>
    <w:rsid w:val="DCF54A05"/>
    <w:rsid w:val="DD15FF32"/>
    <w:rsid w:val="DEED6F57"/>
    <w:rsid w:val="DF3F34A4"/>
    <w:rsid w:val="DF7F4D84"/>
    <w:rsid w:val="DFE3E63B"/>
    <w:rsid w:val="DFEF5BD4"/>
    <w:rsid w:val="DFF4945E"/>
    <w:rsid w:val="DFFCCCAF"/>
    <w:rsid w:val="DFFD2935"/>
    <w:rsid w:val="E9DD2A2B"/>
    <w:rsid w:val="EEF6DF70"/>
    <w:rsid w:val="EF571D7B"/>
    <w:rsid w:val="EFBFECA4"/>
    <w:rsid w:val="F2FFB154"/>
    <w:rsid w:val="F38D895D"/>
    <w:rsid w:val="F3F54342"/>
    <w:rsid w:val="F77E5F01"/>
    <w:rsid w:val="F9CF8CB2"/>
    <w:rsid w:val="FAEB9989"/>
    <w:rsid w:val="FAF41D82"/>
    <w:rsid w:val="FB7E255A"/>
    <w:rsid w:val="FBEEA2CD"/>
    <w:rsid w:val="FBFF5A5B"/>
    <w:rsid w:val="FC661A48"/>
    <w:rsid w:val="FC9A1EE1"/>
    <w:rsid w:val="FDD7A529"/>
    <w:rsid w:val="FDFE0401"/>
    <w:rsid w:val="FE734873"/>
    <w:rsid w:val="FFBFE80A"/>
    <w:rsid w:val="FFE7D486"/>
    <w:rsid w:val="FFF93735"/>
    <w:rsid w:val="FFFD9B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unhideWhenUsed/>
    <w:qFormat/>
    <w:uiPriority w:val="0"/>
    <w:pPr>
      <w:keepNext/>
      <w:keepLines/>
      <w:widowControl w:val="0"/>
      <w:adjustRightInd w:val="0"/>
      <w:snapToGrid w:val="0"/>
      <w:spacing w:before="50" w:beforeLines="50" w:after="50" w:afterLines="50" w:line="360" w:lineRule="auto"/>
      <w:ind w:firstLine="0" w:firstLineChars="0"/>
      <w:jc w:val="center"/>
      <w:outlineLvl w:val="3"/>
    </w:pPr>
    <w:rPr>
      <w:rFonts w:ascii="Times New Roman" w:hAnsi="Times New Roman" w:eastAsia="宋体" w:cs="Times New Roman"/>
      <w:b/>
      <w:bCs/>
      <w:kern w:val="2"/>
      <w:sz w:val="30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吉诺</cp:lastModifiedBy>
  <dcterms:modified xsi:type="dcterms:W3CDTF">2024-04-16T13:06:52Z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F92A675998EC4D0B9E068D6583057CFE_13</vt:lpwstr>
  </property>
</Properties>
</file>