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15A35" w14:textId="2019AA7D" w:rsidR="003E7CEB" w:rsidRPr="00CE4E4C" w:rsidRDefault="003E7CEB" w:rsidP="00A50611">
      <w:pPr>
        <w:kinsoku/>
        <w:topLinePunct/>
        <w:spacing w:line="58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14:paraId="3CFE6843" w14:textId="77777777" w:rsidR="003E7CEB" w:rsidRPr="00CE4E4C" w:rsidRDefault="003E7CEB" w:rsidP="00A50611">
      <w:pPr>
        <w:pStyle w:val="1"/>
        <w:topLinePunct/>
        <w:spacing w:before="0" w:beforeAutospacing="0" w:after="0" w:afterAutospacing="0" w:line="580" w:lineRule="exact"/>
        <w:ind w:leftChars="0" w:left="420" w:hanging="420"/>
        <w:jc w:val="center"/>
        <w:rPr>
          <w:lang w:val="en-US"/>
        </w:rPr>
      </w:pPr>
    </w:p>
    <w:p w14:paraId="06F2B759" w14:textId="77777777" w:rsidR="003E7CEB" w:rsidRPr="00CE4E4C" w:rsidRDefault="003E7CEB" w:rsidP="00A50611">
      <w:pPr>
        <w:kinsoku/>
        <w:topLinePunct/>
        <w:spacing w:line="580" w:lineRule="exact"/>
        <w:jc w:val="center"/>
        <w:rPr>
          <w:rFonts w:ascii="Times New Roman" w:eastAsiaTheme="minorEastAsia" w:hAnsi="Times New Roman" w:cs="Times New Roman"/>
        </w:rPr>
      </w:pPr>
    </w:p>
    <w:p w14:paraId="28707F1D" w14:textId="119A3E41" w:rsidR="003E7CEB" w:rsidRPr="00CE4E4C" w:rsidRDefault="004F6083" w:rsidP="005952F5">
      <w:pPr>
        <w:widowControl w:val="0"/>
        <w:kinsoku/>
        <w:topLinePunct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</w:pPr>
      <w:bookmarkStart w:id="0" w:name="_Hlk117783037"/>
      <w:r w:rsidRPr="00CE4E4C"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四川省电能替代推进方案</w:t>
      </w:r>
      <w:r w:rsidR="004442C2">
        <w:rPr>
          <w:rFonts w:ascii="Times New Roman" w:eastAsia="方正小标宋简体" w:hAnsi="Times New Roman" w:cs="Times New Roman" w:hint="eastAsia"/>
          <w:snapToGrid/>
          <w:color w:val="auto"/>
          <w:kern w:val="2"/>
          <w:sz w:val="44"/>
          <w:szCs w:val="44"/>
        </w:rPr>
        <w:t>（</w:t>
      </w:r>
      <w:r w:rsidR="004442C2" w:rsidRPr="00CE4E4C"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2022—2025</w:t>
      </w:r>
      <w:r w:rsidR="004442C2" w:rsidRPr="00CE4E4C"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年</w:t>
      </w:r>
      <w:r w:rsidR="004442C2">
        <w:rPr>
          <w:rFonts w:ascii="Times New Roman" w:eastAsia="方正小标宋简体" w:hAnsi="Times New Roman" w:cs="Times New Roman" w:hint="eastAsia"/>
          <w:snapToGrid/>
          <w:color w:val="auto"/>
          <w:kern w:val="2"/>
          <w:sz w:val="44"/>
          <w:szCs w:val="44"/>
        </w:rPr>
        <w:t>）</w:t>
      </w:r>
    </w:p>
    <w:bookmarkEnd w:id="0"/>
    <w:p w14:paraId="0CC336B7" w14:textId="77777777" w:rsidR="003E7CEB" w:rsidRPr="00CE4E4C" w:rsidRDefault="003E7CEB" w:rsidP="00E21E79">
      <w:pPr>
        <w:kinsoku/>
        <w:topLinePunct/>
        <w:spacing w:line="58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816BC4F" w14:textId="306E9061" w:rsidR="003E7CEB" w:rsidRPr="00CE4E4C" w:rsidRDefault="004F6083" w:rsidP="00C84FA3">
      <w:pPr>
        <w:kinsoku/>
        <w:topLinePunct/>
        <w:spacing w:line="580" w:lineRule="exact"/>
        <w:ind w:firstLineChars="200" w:firstLine="650"/>
        <w:jc w:val="both"/>
        <w:rPr>
          <w:rFonts w:ascii="Times New Roman" w:eastAsia="仿宋_GB2312" w:hAnsi="Times New Roman" w:cs="Times New Roman"/>
          <w:spacing w:val="10"/>
          <w:sz w:val="32"/>
          <w:szCs w:val="32"/>
        </w:rPr>
      </w:pPr>
      <w:r w:rsidRPr="00CE4E4C">
        <w:rPr>
          <w:rFonts w:ascii="仿宋_GB2312" w:eastAsia="仿宋_GB2312" w:hAnsi="仿宋_GB2312" w:cs="仿宋_GB2312" w:hint="eastAsia"/>
          <w:spacing w:val="5"/>
          <w:sz w:val="32"/>
          <w:szCs w:val="32"/>
        </w:rPr>
        <w:t>为提升全省终端用能清洁化、低碳化、电气化水平，充分将我省清洁能源优势转化为经济优势，</w:t>
      </w:r>
      <w:r w:rsidRPr="00CE4E4C">
        <w:rPr>
          <w:rFonts w:ascii="仿宋_GB2312" w:eastAsia="仿宋_GB2312" w:hAnsi="仿宋_GB2312" w:cs="仿宋_GB2312" w:hint="eastAsia"/>
          <w:spacing w:val="10"/>
          <w:sz w:val="30"/>
          <w:szCs w:val="30"/>
        </w:rPr>
        <w:t>助力实现碳达峰、碳中和目标，根据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国家发展改革委等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10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部委《关于</w:t>
      </w:r>
      <w:r w:rsidRPr="00CE4E4C">
        <w:rPr>
          <w:rFonts w:ascii="Times New Roman" w:eastAsia="仿宋_GB2312" w:hAnsi="Times New Roman" w:cs="Times New Roman"/>
          <w:spacing w:val="5"/>
          <w:sz w:val="32"/>
          <w:szCs w:val="32"/>
        </w:rPr>
        <w:t>进一步推进电能替代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的指导意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见》（发改能源</w:t>
      </w:r>
      <w:r w:rsidR="001F304B"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〔</w:t>
      </w:r>
      <w:r w:rsidR="001F304B"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2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022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〕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353</w:t>
      </w:r>
      <w:r w:rsidRPr="00CE4E4C">
        <w:rPr>
          <w:rFonts w:ascii="Times New Roman" w:eastAsia="仿宋_GB2312" w:hAnsi="Times New Roman" w:cs="Times New Roman" w:hint="eastAsia"/>
          <w:spacing w:val="10"/>
          <w:sz w:val="32"/>
          <w:szCs w:val="32"/>
        </w:rPr>
        <w:t>号）要求，特制定本工作方案。</w:t>
      </w:r>
    </w:p>
    <w:p w14:paraId="5B42F485" w14:textId="77777777" w:rsidR="003E7CEB" w:rsidRPr="00CE4E4C" w:rsidRDefault="004F6083" w:rsidP="00C84FA3">
      <w:pPr>
        <w:widowControl w:val="0"/>
        <w:kinsoku/>
        <w:topLinePunct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  <w:t>一、总体要求</w:t>
      </w:r>
    </w:p>
    <w:p w14:paraId="32AB79A5" w14:textId="77777777" w:rsidR="003E7CEB" w:rsidRPr="00CE4E4C" w:rsidRDefault="004F6083" w:rsidP="00C84FA3">
      <w:pPr>
        <w:widowControl w:val="0"/>
        <w:tabs>
          <w:tab w:val="left" w:pos="1611"/>
        </w:tabs>
        <w:kinsoku/>
        <w:topLinePunct/>
        <w:autoSpaceDE/>
        <w:autoSpaceDN/>
        <w:adjustRightInd/>
        <w:snapToGrid/>
        <w:spacing w:line="580" w:lineRule="exact"/>
        <w:ind w:firstLineChars="200" w:firstLine="643"/>
        <w:jc w:val="both"/>
        <w:textAlignment w:val="auto"/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（一）指导思想</w:t>
      </w:r>
    </w:p>
    <w:p w14:paraId="776674EC" w14:textId="5AFDB143" w:rsidR="003E7CEB" w:rsidRPr="00CE4E4C" w:rsidRDefault="004F6083" w:rsidP="00C84FA3">
      <w:pPr>
        <w:kinsoku/>
        <w:topLinePunct/>
        <w:spacing w:line="580" w:lineRule="exact"/>
        <w:ind w:firstLineChars="200" w:firstLine="634"/>
        <w:jc w:val="both"/>
        <w:rPr>
          <w:rFonts w:ascii="仿宋_GB2312" w:eastAsia="仿宋_GB2312" w:hAnsi="仿宋_GB2312" w:cs="仿宋_GB2312"/>
          <w:spacing w:val="10"/>
          <w:sz w:val="32"/>
          <w:szCs w:val="32"/>
        </w:rPr>
      </w:pPr>
      <w:r w:rsidRPr="00CE4E4C">
        <w:rPr>
          <w:rFonts w:ascii="仿宋_GB2312" w:eastAsia="仿宋_GB2312" w:hAnsi="仿宋_GB2312" w:cs="仿宋_GB2312" w:hint="eastAsia"/>
          <w:spacing w:val="-3"/>
          <w:sz w:val="32"/>
          <w:szCs w:val="32"/>
        </w:rPr>
        <w:t>以习近平新时代中国特色社会主义思想为指导，全面贯彻</w:t>
      </w:r>
      <w:r w:rsidR="00A52F05">
        <w:rPr>
          <w:rFonts w:ascii="仿宋_GB2312" w:eastAsia="仿宋_GB2312" w:hAnsi="仿宋_GB2312" w:cs="仿宋_GB2312" w:hint="eastAsia"/>
          <w:spacing w:val="-3"/>
          <w:sz w:val="32"/>
          <w:szCs w:val="32"/>
        </w:rPr>
        <w:t>落实</w:t>
      </w:r>
      <w:r w:rsidR="00C60B71" w:rsidRPr="00CE4E4C">
        <w:rPr>
          <w:rFonts w:ascii="仿宋_GB2312" w:eastAsia="仿宋_GB2312" w:hAnsi="仿宋_GB2312" w:cs="仿宋_GB2312" w:hint="eastAsia"/>
          <w:spacing w:val="-8"/>
          <w:sz w:val="32"/>
          <w:szCs w:val="32"/>
        </w:rPr>
        <w:t>党的二十大</w:t>
      </w:r>
      <w:r w:rsidRPr="00CE4E4C">
        <w:rPr>
          <w:rFonts w:ascii="仿宋_GB2312" w:eastAsia="仿宋_GB2312" w:hAnsi="仿宋_GB2312" w:cs="仿宋_GB2312" w:hint="eastAsia"/>
          <w:spacing w:val="-8"/>
          <w:sz w:val="32"/>
          <w:szCs w:val="32"/>
        </w:rPr>
        <w:t>精神</w:t>
      </w:r>
      <w:r w:rsidR="006A2276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，立足新发展阶段</w:t>
      </w:r>
      <w:r w:rsidR="00E21E79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、</w:t>
      </w:r>
      <w:r w:rsidR="006A2276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贯彻</w:t>
      </w:r>
      <w:r w:rsidRPr="00CE4E4C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新发展理念</w:t>
      </w:r>
      <w:r w:rsidR="00CB1D39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，</w:t>
      </w:r>
      <w:r w:rsidR="006A2276">
        <w:rPr>
          <w:rFonts w:ascii="仿宋_GB2312" w:eastAsia="仿宋_GB2312" w:hAnsi="仿宋_GB2312" w:cs="仿宋_GB2312" w:hint="eastAsia"/>
          <w:spacing w:val="-8"/>
          <w:sz w:val="32"/>
          <w:szCs w:val="32"/>
          <w:lang w:val="en"/>
        </w:rPr>
        <w:t>遵循</w:t>
      </w:r>
      <w:r w:rsidRPr="00CE4E4C">
        <w:rPr>
          <w:rFonts w:ascii="仿宋_GB2312" w:eastAsia="仿宋_GB2312" w:hAnsi="仿宋_GB2312" w:cs="仿宋_GB2312" w:hint="eastAsia"/>
          <w:spacing w:val="-2"/>
          <w:sz w:val="32"/>
          <w:szCs w:val="32"/>
        </w:rPr>
        <w:t>“四个革命、一个合作”能源安全新战略</w:t>
      </w:r>
      <w:r w:rsidRPr="00CE4E4C">
        <w:rPr>
          <w:rFonts w:ascii="仿宋_GB2312" w:eastAsia="仿宋_GB2312" w:hAnsi="仿宋_GB2312" w:cs="仿宋_GB2312" w:hint="eastAsia"/>
          <w:spacing w:val="-3"/>
          <w:sz w:val="32"/>
          <w:szCs w:val="32"/>
        </w:rPr>
        <w:t>，</w:t>
      </w:r>
      <w:r w:rsidR="006A2276">
        <w:rPr>
          <w:rFonts w:ascii="仿宋_GB2312" w:eastAsia="仿宋_GB2312" w:hAnsi="仿宋_GB2312" w:cs="仿宋_GB2312" w:hint="eastAsia"/>
          <w:spacing w:val="-3"/>
          <w:sz w:val="32"/>
          <w:szCs w:val="32"/>
        </w:rPr>
        <w:t>深入落实</w:t>
      </w:r>
      <w:r w:rsidRPr="00CE4E4C">
        <w:rPr>
          <w:rFonts w:ascii="仿宋_GB2312" w:eastAsia="仿宋_GB2312" w:hAnsi="仿宋_GB2312" w:cs="仿宋_GB2312" w:hint="eastAsia"/>
          <w:spacing w:val="-3"/>
          <w:sz w:val="32"/>
          <w:szCs w:val="32"/>
        </w:rPr>
        <w:t>省委省政府决策部署，</w:t>
      </w:r>
      <w:r w:rsidR="006A2276">
        <w:rPr>
          <w:rFonts w:ascii="仿宋_GB2312" w:eastAsia="仿宋_GB2312" w:hAnsi="仿宋_GB2312" w:cs="仿宋_GB2312" w:hint="eastAsia"/>
          <w:spacing w:val="-3"/>
          <w:sz w:val="32"/>
          <w:szCs w:val="32"/>
        </w:rPr>
        <w:t>坚持系统观念</w:t>
      </w:r>
      <w:r w:rsidR="00E21E79">
        <w:rPr>
          <w:rFonts w:ascii="仿宋_GB2312" w:eastAsia="仿宋_GB2312" w:hAnsi="仿宋_GB2312" w:cs="仿宋_GB2312" w:hint="eastAsia"/>
          <w:spacing w:val="-3"/>
          <w:sz w:val="32"/>
          <w:szCs w:val="32"/>
        </w:rPr>
        <w:t>、</w:t>
      </w:r>
      <w:r w:rsidR="006A2276">
        <w:rPr>
          <w:rFonts w:ascii="仿宋_GB2312" w:eastAsia="仿宋_GB2312" w:hAnsi="仿宋_GB2312" w:cs="仿宋_GB2312" w:hint="eastAsia"/>
          <w:spacing w:val="-3"/>
          <w:sz w:val="32"/>
          <w:szCs w:val="32"/>
        </w:rPr>
        <w:t>底线思维，</w:t>
      </w:r>
      <w:r w:rsidR="00CE4E4C" w:rsidRPr="00CE4E4C">
        <w:rPr>
          <w:rFonts w:ascii="仿宋_GB2312" w:eastAsia="仿宋_GB2312" w:hAnsi="仿宋_GB2312" w:cs="仿宋_GB2312" w:hint="eastAsia"/>
          <w:spacing w:val="4"/>
          <w:sz w:val="32"/>
          <w:szCs w:val="32"/>
        </w:rPr>
        <w:t>提升电能在终端能源消费的比重</w:t>
      </w:r>
      <w:r w:rsidR="00CE4E4C" w:rsidRPr="00CE4E4C">
        <w:rPr>
          <w:rFonts w:ascii="仿宋_GB2312" w:eastAsia="仿宋_GB2312" w:hAnsi="仿宋_GB2312" w:cs="仿宋_GB2312" w:hint="eastAsia"/>
          <w:spacing w:val="2"/>
          <w:sz w:val="32"/>
          <w:szCs w:val="32"/>
        </w:rPr>
        <w:t>，</w:t>
      </w:r>
      <w:r w:rsidRPr="00CE4E4C">
        <w:rPr>
          <w:rFonts w:ascii="仿宋_GB2312" w:eastAsia="仿宋_GB2312" w:hAnsi="仿宋_GB2312" w:cs="仿宋_GB2312" w:hint="eastAsia"/>
          <w:spacing w:val="-2"/>
          <w:sz w:val="32"/>
          <w:szCs w:val="32"/>
        </w:rPr>
        <w:t>全面推进终端用能绿色低碳转型，</w:t>
      </w:r>
      <w:r w:rsidRPr="00CE4E4C">
        <w:rPr>
          <w:rFonts w:ascii="仿宋_GB2312" w:eastAsia="仿宋_GB2312" w:hAnsi="仿宋_GB2312" w:cs="仿宋_GB2312" w:hint="eastAsia"/>
          <w:spacing w:val="2"/>
          <w:sz w:val="32"/>
          <w:szCs w:val="32"/>
        </w:rPr>
        <w:t>加快建设清洁低碳、安全高效的现代能源体系，</w:t>
      </w:r>
      <w:r w:rsidRPr="00CE4E4C">
        <w:rPr>
          <w:rFonts w:ascii="仿宋_GB2312" w:eastAsia="仿宋_GB2312" w:hAnsi="仿宋_GB2312" w:cs="仿宋_GB2312" w:hint="eastAsia"/>
          <w:spacing w:val="10"/>
          <w:sz w:val="32"/>
          <w:szCs w:val="32"/>
        </w:rPr>
        <w:t>助力四川发展新篇章。</w:t>
      </w:r>
    </w:p>
    <w:p w14:paraId="30A0749A" w14:textId="77777777" w:rsidR="003E7CEB" w:rsidRPr="00CE4E4C" w:rsidRDefault="004F6083" w:rsidP="00C84FA3">
      <w:pPr>
        <w:widowControl w:val="0"/>
        <w:tabs>
          <w:tab w:val="left" w:pos="1611"/>
        </w:tabs>
        <w:kinsoku/>
        <w:topLinePunct/>
        <w:autoSpaceDE/>
        <w:autoSpaceDN/>
        <w:adjustRightInd/>
        <w:snapToGrid/>
        <w:spacing w:line="580" w:lineRule="exact"/>
        <w:ind w:firstLineChars="200" w:firstLine="643"/>
        <w:jc w:val="both"/>
        <w:textAlignment w:val="auto"/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（二）基本原则</w:t>
      </w:r>
    </w:p>
    <w:p w14:paraId="16A5FCF5" w14:textId="77777777" w:rsidR="003E7CEB" w:rsidRPr="00CE4E4C" w:rsidRDefault="004F6083" w:rsidP="00C84FA3">
      <w:pPr>
        <w:kinsoku/>
        <w:topLinePunct/>
        <w:spacing w:line="580" w:lineRule="exact"/>
        <w:ind w:firstLineChars="200" w:firstLine="636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 w:rsidRPr="00CE4E4C">
        <w:rPr>
          <w:rFonts w:ascii="Times New Roman" w:eastAsia="仿宋_GB2312" w:hAnsi="Times New Roman" w:cs="Times New Roman" w:hint="eastAsia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坚持协同推进。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各部门、各单位整合各类资源要素，加强顶层设计，统筹使用政策、经济等手段，强化节能环保强制约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lastRenderedPageBreak/>
        <w:t>束，综合节能减排、环境治理、安全生产、财政金融、市场交易、价格引导等政策，合力推进各领域电能替代工作。</w:t>
      </w:r>
    </w:p>
    <w:p w14:paraId="78E601A4" w14:textId="77777777" w:rsidR="003E7CEB" w:rsidRPr="00CE4E4C" w:rsidRDefault="004F6083" w:rsidP="00C84FA3">
      <w:pPr>
        <w:pStyle w:val="1"/>
        <w:topLinePunct/>
        <w:spacing w:before="0" w:beforeAutospacing="0" w:after="0" w:afterAutospacing="0" w:line="580" w:lineRule="exact"/>
        <w:ind w:leftChars="0" w:left="0" w:firstLineChars="200" w:firstLine="636"/>
        <w:jc w:val="both"/>
        <w:rPr>
          <w:rFonts w:eastAsia="仿宋_GB2312"/>
          <w:snapToGrid w:val="0"/>
          <w:spacing w:val="5"/>
          <w:sz w:val="32"/>
          <w:szCs w:val="32"/>
          <w:lang w:val="en-US"/>
        </w:rPr>
      </w:pPr>
      <w:r w:rsidRPr="00CE4E4C">
        <w:rPr>
          <w:rFonts w:eastAsia="仿宋_GB2312" w:hint="eastAsia"/>
          <w:snapToGrid w:val="0"/>
          <w:spacing w:val="-12"/>
          <w:sz w:val="33"/>
          <w:szCs w:val="33"/>
          <w:lang w:val="en-US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坚持市场驱动。</w:t>
      </w:r>
      <w:r w:rsidRPr="00CE4E4C">
        <w:rPr>
          <w:rFonts w:eastAsia="仿宋_GB2312" w:hint="eastAsia"/>
          <w:snapToGrid w:val="0"/>
          <w:spacing w:val="5"/>
          <w:sz w:val="32"/>
          <w:szCs w:val="32"/>
          <w:lang w:val="en-US"/>
        </w:rPr>
        <w:t>充分发挥市场在资源配置中的决定性作用，鼓励各类资本加强在资源、技术、业态、运营模式上的合作，探索形成多方共赢的商业模式，提升终端能源用户电能替代积极性。</w:t>
      </w:r>
    </w:p>
    <w:p w14:paraId="2AD9EB16" w14:textId="77777777" w:rsidR="003E7CEB" w:rsidRPr="00CE4E4C" w:rsidRDefault="004F6083" w:rsidP="00C84FA3">
      <w:pPr>
        <w:pStyle w:val="1"/>
        <w:topLinePunct/>
        <w:spacing w:before="0" w:beforeAutospacing="0" w:after="0" w:afterAutospacing="0" w:line="580" w:lineRule="exact"/>
        <w:ind w:leftChars="0" w:left="0" w:firstLineChars="200" w:firstLine="636"/>
        <w:jc w:val="both"/>
        <w:rPr>
          <w:rFonts w:eastAsia="仿宋_GB2312"/>
          <w:spacing w:val="5"/>
          <w:sz w:val="32"/>
          <w:szCs w:val="32"/>
        </w:rPr>
      </w:pPr>
      <w:r w:rsidRPr="00CE4E4C">
        <w:rPr>
          <w:rFonts w:eastAsia="仿宋_GB2312" w:hint="eastAsia"/>
          <w:spacing w:val="-12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坚持安全保障。</w:t>
      </w:r>
      <w:r w:rsidRPr="00CE4E4C">
        <w:rPr>
          <w:rFonts w:eastAsia="仿宋_GB2312" w:hint="eastAsia"/>
          <w:spacing w:val="5"/>
          <w:sz w:val="32"/>
          <w:szCs w:val="32"/>
        </w:rPr>
        <w:t>以保障能源安全可靠供应为前提，立足全省电力供需形势，推广应用高效节能替代技术、储能技术，提升负荷侧用电智能化水平和灵活性，完成电能替代发展目标，落实实施路径。</w:t>
      </w:r>
    </w:p>
    <w:p w14:paraId="051C843C" w14:textId="35C262FF" w:rsidR="003E7CEB" w:rsidRPr="00CE4E4C" w:rsidRDefault="004F6083" w:rsidP="00C84FA3">
      <w:pPr>
        <w:kinsoku/>
        <w:topLinePunct/>
        <w:spacing w:line="580" w:lineRule="exact"/>
        <w:ind w:firstLine="674"/>
        <w:jc w:val="both"/>
        <w:rPr>
          <w:rFonts w:ascii="Times New Roman" w:eastAsia="仿宋_GB2312" w:hAnsi="Times New Roman" w:cs="Times New Roman"/>
          <w:spacing w:val="5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（三）主要目标。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进一步健全电能替代工作机制，拓展电能替代广度和深度，力争“十四五”期间电能替代累计电量达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600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亿千瓦时，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2025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年电能占终端能源消费比重达到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3</w:t>
      </w:r>
      <w:r w:rsidR="00856EFB" w:rsidRPr="00CE4E4C">
        <w:rPr>
          <w:rFonts w:ascii="Times New Roman" w:eastAsia="仿宋_GB2312" w:hAnsi="Times New Roman" w:cs="Times New Roman"/>
          <w:spacing w:val="5"/>
          <w:sz w:val="32"/>
          <w:szCs w:val="32"/>
        </w:rPr>
        <w:t>0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%</w:t>
      </w:r>
      <w:r w:rsidRPr="00CE4E4C">
        <w:rPr>
          <w:rFonts w:ascii="Times New Roman" w:eastAsia="仿宋_GB2312" w:hAnsi="Times New Roman" w:cs="Times New Roman" w:hint="eastAsia"/>
          <w:spacing w:val="5"/>
          <w:sz w:val="32"/>
          <w:szCs w:val="32"/>
        </w:rPr>
        <w:t>左右。</w:t>
      </w:r>
    </w:p>
    <w:p w14:paraId="3209B216" w14:textId="77777777" w:rsidR="003E7CEB" w:rsidRPr="00CE4E4C" w:rsidRDefault="004F6083" w:rsidP="00C84FA3">
      <w:pPr>
        <w:widowControl w:val="0"/>
        <w:kinsoku/>
        <w:topLinePunct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  <w:t>二、重点任务</w:t>
      </w:r>
    </w:p>
    <w:p w14:paraId="3901C9FD" w14:textId="79BADA39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（一）工业生产领域。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服务国家产业结构调整和制造业转型升级，在钢铁、建材、有色、石化化工等重点行业及其它行业</w:t>
      </w:r>
      <w:r w:rsidR="00F153BA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铸造、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加热、烘干、</w:t>
      </w:r>
      <w:r w:rsidR="00A82484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蒸汽驱动、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蒸汽供应等环节，推广电炉钢、电锅炉、电窑炉、电加热、高温热泵、</w:t>
      </w:r>
      <w:r w:rsidR="00A82484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大电机驱动、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大功率电热储能锅炉等替代工艺技术，</w:t>
      </w:r>
      <w:r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稳妥有序对工业生产过程中低温热源进行电气化改造，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扩大电气化终端用能设备使用比例。加快淘汰不达标燃煤锅炉和以煤、石油焦、渣油、重油等为燃料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lastRenderedPageBreak/>
        <w:t>的工业窑炉。支持具备条件的工业企业、工业园区建设工业绿色微电网，加快分布式光伏、分散式风电、高效热泵、余热余压利用、智慧能源管控等一体化系统开发</w:t>
      </w:r>
      <w:r w:rsidR="00643180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运行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，推进多能高效互补利用</w:t>
      </w:r>
      <w:r w:rsidR="00F92D88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。</w:t>
      </w:r>
      <w:r w:rsidR="00392E74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支持大型高速电机驱动替代蒸汽驱动</w:t>
      </w:r>
      <w:r w:rsidR="00F64C20" w:rsidRPr="00CE4E4C"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，提高热能利用率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。持续推进</w:t>
      </w:r>
      <w:r w:rsidRPr="00CE4E4C">
        <w:rPr>
          <w:rFonts w:ascii="Times New Roman" w:eastAsia="仿宋_GB2312" w:hAnsi="Times New Roman" w:cs="Times New Roman"/>
          <w:sz w:val="32"/>
        </w:rPr>
        <w:t>页岩气开采</w:t>
      </w:r>
      <w:r w:rsidRPr="00CE4E4C">
        <w:rPr>
          <w:rFonts w:ascii="Times New Roman" w:eastAsia="仿宋_GB2312" w:hAnsi="Times New Roman" w:cs="Times New Roman"/>
          <w:sz w:val="32"/>
        </w:rPr>
        <w:t>“</w:t>
      </w:r>
      <w:r w:rsidRPr="00CE4E4C">
        <w:rPr>
          <w:rFonts w:ascii="Times New Roman" w:eastAsia="仿宋_GB2312" w:hAnsi="Times New Roman" w:cs="Times New Roman"/>
          <w:sz w:val="32"/>
        </w:rPr>
        <w:t>油改电</w:t>
      </w:r>
      <w:r w:rsidRPr="00CE4E4C">
        <w:rPr>
          <w:rFonts w:ascii="Times New Roman" w:eastAsia="仿宋_GB2312" w:hAnsi="Times New Roman" w:cs="Times New Roman"/>
          <w:sz w:val="32"/>
        </w:rPr>
        <w:t>”</w:t>
      </w:r>
      <w:r w:rsidRPr="00CE4E4C">
        <w:rPr>
          <w:rFonts w:ascii="Times New Roman" w:eastAsia="仿宋_GB2312" w:hAnsi="Times New Roman" w:cs="Times New Roman"/>
          <w:sz w:val="32"/>
        </w:rPr>
        <w:t>项目，在钻井、压裂环节采用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电动钻机替代柴油驱动的机械钻机、用电驱压裂设备替代柴油压裂车，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助力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国家天然气（页岩气）千亿立方米级产能基地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建设。</w:t>
      </w:r>
    </w:p>
    <w:p w14:paraId="14AEBA24" w14:textId="2E48B179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（二）交通运输领域。</w:t>
      </w:r>
      <w:r w:rsidRPr="00CE4E4C"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  <w:t>大力推广新能源汽车，逐步降低传统燃油汽车在新车产销和汽车保有量中的占比，</w:t>
      </w:r>
      <w:r w:rsidRPr="00CE4E4C"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推动政府机关、企事业单位、公共服务机构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新增和更换的车辆优先使用新能源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汽车，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鼓励公交、出租、环卫、物流、景区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CE4E4C"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  <w:t>城市公共服务车辆</w:t>
      </w:r>
      <w:r w:rsidRPr="00CE4E4C">
        <w:rPr>
          <w:rFonts w:ascii="Times New Roman" w:eastAsia="仿宋_GB2312" w:hAnsi="Times New Roman" w:cs="Times New Roman" w:hint="eastAsia"/>
          <w:color w:val="191919"/>
          <w:sz w:val="32"/>
          <w:szCs w:val="32"/>
          <w:shd w:val="clear" w:color="auto" w:fill="FFFFFF"/>
        </w:rPr>
        <w:t>逐步</w:t>
      </w:r>
      <w:r w:rsidRPr="00CE4E4C">
        <w:rPr>
          <w:rFonts w:ascii="Times New Roman" w:eastAsia="仿宋_GB2312" w:hAnsi="Times New Roman" w:cs="Times New Roman"/>
          <w:color w:val="191919"/>
          <w:sz w:val="32"/>
          <w:szCs w:val="32"/>
          <w:shd w:val="clear" w:color="auto" w:fill="FFFFFF"/>
        </w:rPr>
        <w:t>电动化替代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。在城乡公共区域、高速公路、景区、居民小区等领域推进充电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基础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设施建设，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十四五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期间，充电基础设施保有量突破</w:t>
      </w:r>
      <w:r w:rsidR="00CE4E4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万根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，建成布局合理、运行高效、安全稳定的充电基础设施体系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。在水路运输、景区观光等领域推广电动船</w:t>
      </w:r>
      <w:r w:rsidR="00F559FF" w:rsidRPr="00CE4E4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港口岸电统一规划、统一管理，到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年底，实现省内主要港口码头岸电设施全覆盖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。优化完善机场岸电设施，推动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省内新机场同步设计、同步建设电能桥载设备，到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年底，实现我省民用机场登机桥载设备全覆盖。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在物流中心、港口、机场等领域开展运输及装卸设备动力电气化改造。在采矿、冶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金、</w:t>
      </w:r>
      <w:r w:rsidR="00F153BA" w:rsidRPr="00CE4E4C">
        <w:rPr>
          <w:rFonts w:ascii="Times New Roman" w:eastAsia="仿宋_GB2312" w:hAnsi="Times New Roman" w:cs="Times New Roman" w:hint="eastAsia"/>
          <w:sz w:val="32"/>
          <w:szCs w:val="32"/>
        </w:rPr>
        <w:t>钢铁、建材、有色、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食品加工、装备制造、港口运输、大型仓储等行业，重点在物料运输环节推广使用电力驱动皮带传输替代柴</w:t>
      </w:r>
      <w:r w:rsidR="00554F2C" w:rsidRPr="00CE4E4C">
        <w:rPr>
          <w:rFonts w:ascii="Times New Roman" w:eastAsia="仿宋_GB2312" w:hAnsi="Times New Roman" w:cs="Times New Roman" w:hint="eastAsia"/>
          <w:sz w:val="32"/>
          <w:szCs w:val="32"/>
        </w:rPr>
        <w:t>油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发动机驱动皮带传输</w:t>
      </w:r>
      <w:r w:rsidR="00F153BA" w:rsidRPr="00CE4E4C">
        <w:rPr>
          <w:rFonts w:ascii="Times New Roman" w:eastAsia="仿宋_GB2312" w:hAnsi="Times New Roman" w:cs="Times New Roman" w:hint="eastAsia"/>
          <w:sz w:val="32"/>
          <w:szCs w:val="32"/>
        </w:rPr>
        <w:t>或燃油车辆运输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0E27B8A5" w14:textId="0C765E41" w:rsidR="003E7CEB" w:rsidRPr="00CE4E4C" w:rsidRDefault="004F6083" w:rsidP="00C84FA3">
      <w:pPr>
        <w:kinsoku/>
        <w:topLinePunct/>
        <w:autoSpaceDE/>
        <w:autoSpaceDN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（三）农业生产领域。</w:t>
      </w:r>
      <w:r w:rsidRPr="00CE4E4C">
        <w:rPr>
          <w:rFonts w:ascii="Times New Roman" w:eastAsia="仿宋_GB2312" w:hAnsi="Times New Roman" w:cs="Times New Roman" w:hint="eastAsia"/>
          <w:spacing w:val="-8"/>
          <w:sz w:val="32"/>
          <w:szCs w:val="32"/>
        </w:rPr>
        <w:t>落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实乡村振兴战略，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结合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美丽四川</w:t>
      </w:r>
      <w:r w:rsidR="00554F2C" w:rsidRPr="00CE4E4C">
        <w:rPr>
          <w:rFonts w:ascii="Times New Roman" w:eastAsia="仿宋_GB2312" w:hAnsi="Times New Roman" w:cs="Times New Roman" w:hint="eastAsia"/>
          <w:sz w:val="32"/>
          <w:szCs w:val="32"/>
        </w:rPr>
        <w:t>·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宜居乡村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建设，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持续提升乡村电气化水平。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在农业种植行业，推广农业大棚电保温、电动喷淋、电动拖拉机、电动播种机等成熟农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机具电气化技术；在畜牧业，普及推广自动饲喂、自动清粪、自动环控、视频监控等设施；在水产养殖行业，推广电制氧、电加热育苗、电动投饲、水体保温等智能养殖技术。实施“电烤烟”工程，在烟叶主产区推广电锅炉集中供热式烤烟房替代燃煤烤烟房，力争到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年完成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的集中式烤烟房煤改电改造。实施“电制茶”工程，在茶叶主产区，推动茶叶杀青和烘干等环节的锅炉、窑炉设备采用电热式、热泵、微波式、滚筒式杀青机</w:t>
      </w:r>
      <w:r w:rsidR="0071766E" w:rsidRPr="00CE4E4C">
        <w:rPr>
          <w:rFonts w:ascii="Times New Roman" w:eastAsia="仿宋_GB2312" w:hAnsi="Times New Roman" w:cs="Times New Roman" w:hint="eastAsia"/>
          <w:sz w:val="32"/>
          <w:szCs w:val="32"/>
        </w:rPr>
        <w:t>（烘干机）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、电热风炉等电气设备替代，力争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2025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年全省电制茶比例达到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80%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24E342F2" w14:textId="39FDF87E" w:rsidR="003E7CEB" w:rsidRPr="00CE4E4C" w:rsidRDefault="004F6083" w:rsidP="00643180">
      <w:pPr>
        <w:kinsoku/>
        <w:autoSpaceDE/>
        <w:autoSpaceDN/>
        <w:adjustRightInd/>
        <w:snapToGrid/>
        <w:spacing w:line="580" w:lineRule="exact"/>
        <w:ind w:firstLineChars="200" w:firstLine="643"/>
        <w:jc w:val="both"/>
        <w:textAlignment w:val="auto"/>
        <w:rPr>
          <w:rFonts w:ascii="Times New Roman" w:eastAsia="仿宋_GB2312" w:hAnsi="Times New Roman" w:cs="Times New Roman"/>
          <w:spacing w:val="4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（四）房屋建筑领域。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鼓励机关、学校、医院等公共机构建筑和办公楼、酒店、商业综合体等大型公共建筑围绕减碳提效</w:t>
      </w:r>
      <w:r w:rsidR="00643180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，引导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建筑供暖、生活热水、炊事等向电气化发展</w:t>
      </w:r>
      <w:r w:rsidR="00F559FF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。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鼓励开展新建公共建筑全电气化设计试点示范</w:t>
      </w:r>
      <w:r w:rsidR="00A37C91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，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推动工程机械电动化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。</w:t>
      </w:r>
      <w:r w:rsidR="0071766E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在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宾馆、商场等大型商业综合体、交通枢纽、工厂车间、办公楼、学校场所推广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空气源热泵、水源热泵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、中央空调等，实施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lastRenderedPageBreak/>
        <w:t>集中供暖、供冷；</w:t>
      </w:r>
      <w:r w:rsidR="0071766E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在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昼夜冷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热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负荷变化较大的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场所，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推广使用蓄热式电锅炉、蓄冷式空调。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因地制宜推进可再生能源建筑应用</w:t>
      </w:r>
      <w:r w:rsidRPr="00CE4E4C">
        <w:rPr>
          <w:rFonts w:ascii="Times New Roman" w:eastAsia="仿宋_GB2312" w:hAnsi="Times New Roman" w:cs="Times New Roman"/>
          <w:spacing w:val="4"/>
          <w:sz w:val="32"/>
          <w:szCs w:val="32"/>
        </w:rPr>
        <w:t>，在太阳能资源丰富的地方开展建筑屋顶光伏行动，推行光伏建筑一体化。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推动智能微电网、</w:t>
      </w:r>
      <w:r w:rsidR="0089565D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“</w:t>
      </w:r>
      <w:r w:rsidR="0089565D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光储直柔</w:t>
      </w:r>
      <w:r w:rsidR="0089565D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”</w:t>
      </w:r>
      <w:r w:rsidR="00F153BA"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、蓄冷蓄热、负荷灵活调节、虚拟电厂等技术应用，主动参与电力需求侧响应</w:t>
      </w:r>
      <w:r w:rsidRPr="00CE4E4C">
        <w:rPr>
          <w:rFonts w:ascii="Times New Roman" w:eastAsia="仿宋_GB2312" w:hAnsi="Times New Roman" w:cs="Times New Roman" w:hint="eastAsia"/>
          <w:spacing w:val="4"/>
          <w:sz w:val="32"/>
          <w:szCs w:val="32"/>
        </w:rPr>
        <w:t>。</w:t>
      </w:r>
    </w:p>
    <w:p w14:paraId="3D8C0FD0" w14:textId="499B257F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（五）生活服务领域。</w:t>
      </w:r>
      <w:r w:rsidRPr="00CE4E4C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因地制宜推进炊事、家具家电等居民生活领域电气化。打造电能替代四川品牌，全面推广、应用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电火锅、电烧烤。鼓励政企、事业单位发挥模范带头作用，</w:t>
      </w:r>
      <w:r w:rsidRPr="00CE4E4C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实施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全电智能厨房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示范项目，助力传统餐饮绿色转型</w:t>
      </w:r>
      <w:r w:rsidRPr="00CE4E4C">
        <w:rPr>
          <w:rFonts w:ascii="Times New Roman" w:eastAsia="仿宋_GB2312" w:hAnsi="Times New Roman" w:cs="Times New Roman"/>
          <w:spacing w:val="-2"/>
          <w:sz w:val="32"/>
          <w:szCs w:val="32"/>
        </w:rPr>
        <w:t>。</w:t>
      </w:r>
      <w:r w:rsidRPr="00CE4E4C">
        <w:rPr>
          <w:rFonts w:eastAsia="仿宋_GB2312" w:cs="Times New Roman" w:hint="eastAsia"/>
          <w:spacing w:val="-6"/>
          <w:sz w:val="32"/>
          <w:szCs w:val="32"/>
        </w:rPr>
        <w:t>促进农村生活方式绿色低碳化</w:t>
      </w:r>
      <w:r w:rsidR="00040301" w:rsidRPr="00CE4E4C">
        <w:rPr>
          <w:rFonts w:eastAsia="仿宋_GB2312" w:cs="Times New Roman" w:hint="eastAsia"/>
          <w:spacing w:val="-6"/>
          <w:sz w:val="32"/>
          <w:szCs w:val="32"/>
        </w:rPr>
        <w:t>，</w:t>
      </w:r>
      <w:r w:rsidRPr="00CE4E4C">
        <w:rPr>
          <w:rFonts w:ascii="Times New Roman" w:eastAsia="仿宋_GB2312" w:hAnsi="Times New Roman" w:cs="Times New Roman"/>
          <w:spacing w:val="-6"/>
          <w:sz w:val="32"/>
          <w:szCs w:val="32"/>
        </w:rPr>
        <w:t>重点推广电饭锅、微波炉、电磁灶、电暖气、空调等多功能高效家用电器，降低农村散煤使用和秸秆使用比重。</w:t>
      </w:r>
      <w:r w:rsidRPr="00CE4E4C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在有条件的地区，鼓励使用电锅炉、发热电缆、电热膜等方式实施居民供暖工程。支持有条件的区域推广冷热联供技术，采用电气化方式取暖和制冷。</w:t>
      </w:r>
    </w:p>
    <w:p w14:paraId="4147667E" w14:textId="78B0E756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（六）应用创新方面。</w:t>
      </w:r>
      <w:r w:rsidRPr="00CE4E4C">
        <w:rPr>
          <w:rFonts w:ascii="Times New Roman" w:eastAsia="仿宋_GB2312" w:hAnsi="Times New Roman" w:cs="Times New Roman"/>
          <w:spacing w:val="-16"/>
          <w:w w:val="98"/>
          <w:sz w:val="32"/>
          <w:szCs w:val="32"/>
        </w:rPr>
        <w:t>加大对锅炉、窑炉、页岩气开采、新型储能技术、电池梯级利用等</w:t>
      </w:r>
      <w:r w:rsidRPr="00CE4E4C">
        <w:rPr>
          <w:rFonts w:ascii="Times New Roman" w:eastAsia="仿宋_GB2312" w:hAnsi="Times New Roman" w:cs="Times New Roman" w:hint="eastAsia"/>
          <w:spacing w:val="-16"/>
          <w:w w:val="98"/>
          <w:sz w:val="32"/>
          <w:szCs w:val="32"/>
        </w:rPr>
        <w:t>电能替代相关</w:t>
      </w:r>
      <w:r w:rsidRPr="00CE4E4C">
        <w:rPr>
          <w:rFonts w:ascii="Times New Roman" w:eastAsia="仿宋_GB2312" w:hAnsi="Times New Roman" w:cs="Times New Roman"/>
          <w:spacing w:val="-16"/>
          <w:w w:val="98"/>
          <w:sz w:val="32"/>
          <w:szCs w:val="32"/>
        </w:rPr>
        <w:t>技术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、设备的创新研发。推动产学研用深度融合，鼓励电能替代各类主体共同建设创新基地、联合实验室等合作平台。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推进“电能替代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+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数字化”，</w:t>
      </w:r>
      <w:r w:rsidR="00054FCC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加强电能替代技术与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云计算、大数据、物联网、移动互联网、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人工智能、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5G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等技术的融合应用，</w:t>
      </w:r>
      <w:r w:rsidR="00F559FF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打造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智慧校园、智慧公建、智慧港口、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lastRenderedPageBreak/>
        <w:t>智慧农业</w:t>
      </w:r>
      <w:r w:rsidR="00054FCC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等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示范项目。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推进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电能替代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+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需求响应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，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鼓励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工业、楼宇、储能、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电动汽车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V2</w:t>
      </w:r>
      <w:r w:rsidR="003529F8"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G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、大数据中心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等各类电能替代设备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利用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虚拟电厂形式参与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电网互动，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促进电网削峰填谷。推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进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电能替代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+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综合能源服务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，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鼓励综合能源服务公司搭建数字化、智能化信息服务平台，推广建筑综合能量管理和工业系统能源综合服务。推广区域能源站、光储充一体化、储能电站等技术应用，构建以电为核心的绿色低碳典型用能场景，鼓励新能源发电就地消纳。</w:t>
      </w:r>
    </w:p>
    <w:p w14:paraId="6B33D7FF" w14:textId="77777777" w:rsidR="003E7CEB" w:rsidRPr="00CE4E4C" w:rsidRDefault="004F6083" w:rsidP="00C84FA3">
      <w:pPr>
        <w:widowControl w:val="0"/>
        <w:kinsoku/>
        <w:topLinePunct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  <w:t>三、政策措施</w:t>
      </w:r>
    </w:p>
    <w:p w14:paraId="3EF244E0" w14:textId="2220FB5B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一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）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强化节能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环保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约束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。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严格生态环境监管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执法，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完善环境保护、节能减排约束性指标管理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。</w:t>
      </w:r>
      <w:r w:rsidR="00F153BA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严格执行国家制定的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分散燃煤、燃油设施的限制性、禁止性环保标准。修订完善工业窑</w:t>
      </w:r>
      <w:r w:rsidR="00164CEB" w:rsidRPr="00CE4E4C">
        <w:rPr>
          <w:rFonts w:ascii="仿宋_GB2312" w:eastAsia="仿宋_GB2312" w:hAnsi="仿宋_GB2312" w:cs="仿宋_GB2312" w:hint="eastAsia"/>
          <w:spacing w:val="11"/>
          <w:sz w:val="32"/>
          <w:szCs w:val="32"/>
        </w:rPr>
        <w:t>(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锅</w:t>
      </w:r>
      <w:r w:rsidR="00164CEB" w:rsidRPr="00CE4E4C">
        <w:rPr>
          <w:rFonts w:ascii="仿宋_GB2312" w:eastAsia="仿宋_GB2312" w:hAnsi="仿宋_GB2312" w:cs="仿宋_GB2312" w:hint="eastAsia"/>
          <w:spacing w:val="11"/>
          <w:sz w:val="32"/>
          <w:szCs w:val="32"/>
        </w:rPr>
        <w:t>)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炉环保及能耗标准，依法加大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对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不达标工业窑</w:t>
      </w:r>
      <w:r w:rsidR="00164CEB" w:rsidRPr="00CE4E4C">
        <w:rPr>
          <w:rFonts w:ascii="仿宋_GB2312" w:eastAsia="仿宋_GB2312" w:hAnsi="仿宋_GB2312" w:cs="仿宋_GB2312" w:hint="eastAsia"/>
          <w:spacing w:val="11"/>
          <w:sz w:val="32"/>
          <w:szCs w:val="32"/>
        </w:rPr>
        <w:t>(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锅</w:t>
      </w:r>
      <w:r w:rsidR="00164CEB" w:rsidRPr="00CE4E4C">
        <w:rPr>
          <w:rFonts w:ascii="仿宋_GB2312" w:eastAsia="仿宋_GB2312" w:hAnsi="仿宋_GB2312" w:cs="仿宋_GB2312" w:hint="eastAsia"/>
          <w:spacing w:val="11"/>
          <w:sz w:val="32"/>
          <w:szCs w:val="32"/>
        </w:rPr>
        <w:t>)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炉淘汰整治力度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，</w:t>
      </w:r>
      <w:r w:rsidR="00F153BA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推动县级及以上城市建成区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淘汰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3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5</w:t>
      </w:r>
      <w:r w:rsidRPr="00CE4E4C">
        <w:rPr>
          <w:rFonts w:ascii="仿宋_GB2312" w:eastAsia="仿宋_GB2312" w:hAnsi="仿宋_GB2312" w:cs="仿宋_GB2312" w:hint="eastAsia"/>
          <w:spacing w:val="11"/>
          <w:sz w:val="32"/>
          <w:szCs w:val="32"/>
        </w:rPr>
        <w:t>蒸吨及以下燃煤(油、柴)锅炉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。</w:t>
      </w:r>
      <w:r w:rsidR="00F153BA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严格执行国家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机动车大气污染物排放标准，</w:t>
      </w:r>
      <w:r w:rsidR="00F153BA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严格落实国家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车辆污染排放强制性约束政策，加速淘汰排放不达标的车辆。</w:t>
      </w:r>
    </w:p>
    <w:p w14:paraId="6F492D4C" w14:textId="30530AFE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pacing w:val="9"/>
          <w:sz w:val="32"/>
          <w:szCs w:val="32"/>
        </w:rPr>
      </w:pP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（二）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完善</w:t>
      </w:r>
      <w:r w:rsidR="00F64C20"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市场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价格引导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机制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一是</w:t>
      </w:r>
      <w:r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深化输配电价改革，将因电能替代引起的电网输配电成本纳入输配电价回收。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二是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鼓励</w:t>
      </w:r>
      <w:r w:rsidR="00960521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符合条件的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电能替代项目主动参与错避峰负荷响应，响应电量执行主动错避峰负荷电价。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三是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鼓励港口岸电直接或打捆参与电力市场交易，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2</w:t>
      </w:r>
      <w:r w:rsidR="00856EFB"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025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年底前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免收</w:t>
      </w:r>
      <w:r w:rsidR="00BD4A28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需量（</w:t>
      </w:r>
      <w:r w:rsidR="00BD4A28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容量</w:t>
      </w:r>
      <w:r w:rsidR="00BD4A28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）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电费，</w:t>
      </w:r>
      <w:r w:rsidR="00FD5917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鼓励港口岸电建设运营主体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实施岸电使用服务费优惠，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lastRenderedPageBreak/>
        <w:t>实现船舶使用岸电综合成本（电费和服务费）低于燃油发电成本。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四是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支持电能替代项目参与电力市场交易和电力辅助服务市场，继续实施</w:t>
      </w:r>
      <w:r w:rsidR="00C84FA3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电能替代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交易品种，</w:t>
      </w:r>
      <w:r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鼓励以合同能源管理、设备租赁等市场化方式开展电能替代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五是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将工业、商业、农业以及医院、学校、养老院等领域的</w:t>
      </w:r>
      <w:r w:rsidR="00937CB5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新建和改造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电锅炉，《产业结构调整指导目录（</w:t>
      </w:r>
      <w:r w:rsidR="009D2ECA"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2019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本）》中非限制类、非淘汰类的</w:t>
      </w:r>
      <w:r w:rsidR="009D2ECA"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钢铁、建材、有色、石化化工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等行业内的</w:t>
      </w:r>
      <w:r w:rsidR="00937CB5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新建和改造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电窑炉纳入省级电能替代目录，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目录内项目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用电</w:t>
      </w:r>
      <w:r w:rsidR="00FD5917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按程序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验收合格经</w:t>
      </w:r>
      <w:r w:rsidR="00F64C20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省</w:t>
      </w:r>
      <w:r w:rsidR="00FF630E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发展改革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委</w:t>
      </w:r>
      <w:r w:rsidR="00FA0348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、经济和信息化厅</w:t>
      </w:r>
      <w:r w:rsidR="00C84FA3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、省能源局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同意后</w:t>
      </w:r>
      <w:r w:rsidR="00FD5917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实行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我省电能替代</w:t>
      </w:r>
      <w:r w:rsidR="00856EF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电价</w:t>
      </w:r>
      <w:r w:rsidR="009D2EC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政策</w:t>
      </w:r>
      <w:r w:rsidR="00937CB5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；</w:t>
      </w:r>
      <w:r w:rsidR="0070757D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节能环保约束强制淘汰的项目不纳入省级电能替代目录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。</w:t>
      </w:r>
      <w:r w:rsidR="00242E29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六是</w:t>
      </w:r>
      <w:r w:rsidR="00246E4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实行两部制电价的电动汽车集中式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充换电基础设施</w:t>
      </w:r>
      <w:r w:rsidR="00246E4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用电至</w:t>
      </w:r>
      <w:r w:rsidR="00246E4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2</w:t>
      </w:r>
      <w:r w:rsidR="00246E4A" w:rsidRPr="00CE4E4C">
        <w:rPr>
          <w:rFonts w:ascii="Times New Roman" w:eastAsia="仿宋_GB2312" w:hAnsi="Times New Roman" w:cs="Times New Roman"/>
          <w:spacing w:val="9"/>
          <w:sz w:val="32"/>
          <w:szCs w:val="32"/>
        </w:rPr>
        <w:t>025</w:t>
      </w:r>
      <w:r w:rsidR="00246E4A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年底免收需量（容量）电费</w:t>
      </w:r>
      <w:r w:rsidR="00C3602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，其他充电设施按其所在场所执行</w:t>
      </w:r>
      <w:r w:rsidR="00BD4A28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相应</w:t>
      </w:r>
      <w:r w:rsidR="00C3602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分类电价</w:t>
      </w:r>
      <w:r w:rsidR="00BD4A28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政策</w:t>
      </w:r>
      <w:r w:rsidR="00C3602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，</w:t>
      </w:r>
      <w:r w:rsidR="00AE3420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电动汽车充换电设施充电</w:t>
      </w:r>
      <w:r w:rsidR="00C3602B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执行</w:t>
      </w:r>
      <w:r w:rsidR="00AE3420"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分时电价</w:t>
      </w:r>
      <w:r w:rsidRPr="00CE4E4C">
        <w:rPr>
          <w:rFonts w:ascii="Times New Roman" w:eastAsia="仿宋_GB2312" w:hAnsi="Times New Roman" w:cs="Times New Roman" w:hint="eastAsia"/>
          <w:spacing w:val="9"/>
          <w:sz w:val="32"/>
          <w:szCs w:val="32"/>
        </w:rPr>
        <w:t>。</w:t>
      </w:r>
    </w:p>
    <w:p w14:paraId="655BBA56" w14:textId="108F0FD1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（三）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加强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电力供应保障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。</w:t>
      </w:r>
      <w:r w:rsidR="005A7523"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在电力供需分析与电力规划建设中，充分考虑电能替代用电需求。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各地方政府应对电能替代配套电网建设改造给予支持，简化审批程序，支持相应电力企业做好项目征地、拆迁和电力设施保护等工作。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加强配套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电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网建设，推进电网升级改造，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提升电网运行灵活性、可靠性和智能化水平。优化电力调度，提升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电网安全运行管理</w:t>
      </w:r>
      <w:r w:rsidRPr="00CE4E4C">
        <w:rPr>
          <w:rFonts w:ascii="Times New Roman" w:eastAsia="仿宋_GB2312" w:hAnsi="Times New Roman" w:cs="Times New Roman" w:hint="eastAsia"/>
          <w:spacing w:val="-10"/>
          <w:sz w:val="32"/>
          <w:szCs w:val="32"/>
        </w:rPr>
        <w:t>。持续提升“获得电力”服务水平，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对新增电能替代项目，</w:t>
      </w:r>
      <w:r w:rsidRPr="00CE4E4C">
        <w:rPr>
          <w:rFonts w:ascii="Times New Roman" w:eastAsia="仿宋_GB2312" w:hAnsi="Times New Roman" w:cs="Times New Roman"/>
          <w:spacing w:val="-8"/>
          <w:sz w:val="32"/>
          <w:szCs w:val="32"/>
        </w:rPr>
        <w:t>电网企业负责电能替代改造项</w:t>
      </w:r>
      <w:r w:rsidRPr="00CE4E4C">
        <w:rPr>
          <w:rFonts w:ascii="Times New Roman" w:eastAsia="仿宋_GB2312" w:hAnsi="Times New Roman" w:cs="Times New Roman"/>
          <w:spacing w:val="-8"/>
          <w:sz w:val="32"/>
          <w:szCs w:val="32"/>
        </w:rPr>
        <w:lastRenderedPageBreak/>
        <w:t>目规划红线外配套供电设施投资建设，开辟电能替代项目业扩报装</w:t>
      </w:r>
      <w:r w:rsidRPr="00CE4E4C">
        <w:rPr>
          <w:rFonts w:ascii="Times New Roman" w:eastAsia="仿宋_GB2312" w:hAnsi="Times New Roman" w:cs="Times New Roman"/>
          <w:spacing w:val="-8"/>
          <w:sz w:val="32"/>
          <w:szCs w:val="32"/>
        </w:rPr>
        <w:t>“</w:t>
      </w:r>
      <w:r w:rsidRPr="00CE4E4C">
        <w:rPr>
          <w:rFonts w:ascii="Times New Roman" w:eastAsia="仿宋_GB2312" w:hAnsi="Times New Roman" w:cs="Times New Roman"/>
          <w:spacing w:val="-8"/>
          <w:sz w:val="32"/>
          <w:szCs w:val="32"/>
        </w:rPr>
        <w:t>绿色通道</w:t>
      </w:r>
      <w:r w:rsidRPr="00CE4E4C">
        <w:rPr>
          <w:rFonts w:ascii="Times New Roman" w:eastAsia="仿宋_GB2312" w:hAnsi="Times New Roman" w:cs="Times New Roman"/>
          <w:spacing w:val="-8"/>
          <w:sz w:val="32"/>
          <w:szCs w:val="32"/>
        </w:rPr>
        <w:t>”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。</w:t>
      </w:r>
    </w:p>
    <w:p w14:paraId="0B086DA8" w14:textId="77777777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（四）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加大融资力度。</w:t>
      </w:r>
      <w:r w:rsidRPr="00CE4E4C">
        <w:rPr>
          <w:rFonts w:ascii="Times New Roman" w:eastAsia="仿宋_GB2312" w:hAnsi="Times New Roman" w:cs="Times New Roman"/>
          <w:spacing w:val="-10"/>
          <w:sz w:val="32"/>
          <w:szCs w:val="32"/>
        </w:rPr>
        <w:t>鼓励银行业金融机构在依法合规、风险可控的前提下，加大对电能替代项目的金融支持力度，通过绿色债券、绿色信贷等拓宽电能替代项目融资渠道。</w:t>
      </w:r>
    </w:p>
    <w:p w14:paraId="5D637589" w14:textId="77777777" w:rsidR="003E7CEB" w:rsidRPr="00CE4E4C" w:rsidRDefault="004F6083" w:rsidP="00C84FA3">
      <w:pPr>
        <w:widowControl w:val="0"/>
        <w:kinsoku/>
        <w:topLinePunct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outlineLvl w:val="0"/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</w:pPr>
      <w:r w:rsidRPr="00CE4E4C">
        <w:rPr>
          <w:rFonts w:ascii="Times New Roman" w:eastAsia="黑体" w:hAnsi="Times New Roman" w:cs="Times New Roman"/>
          <w:snapToGrid/>
          <w:color w:val="auto"/>
          <w:kern w:val="2"/>
          <w:sz w:val="32"/>
          <w:szCs w:val="32"/>
        </w:rPr>
        <w:t>四、组织实施</w:t>
      </w:r>
    </w:p>
    <w:p w14:paraId="598EE227" w14:textId="77777777" w:rsidR="00C84FA3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（一）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强化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组织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协调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。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各市（州）</w:t>
      </w:r>
      <w:r w:rsidRPr="00CE4E4C">
        <w:rPr>
          <w:rFonts w:ascii="Times New Roman" w:eastAsia="仿宋_GB2312" w:hAnsi="Times New Roman" w:cs="Times New Roman" w:hint="eastAsia"/>
          <w:sz w:val="32"/>
          <w:szCs w:val="32"/>
        </w:rPr>
        <w:t>、各有关部门要高度重视，建立健全工作机制，统筹社会资源，强化政企合作，分行业、分领域系统推进推动电能替代工作，确保各项支持政策和配套措施落实落地。</w:t>
      </w:r>
    </w:p>
    <w:p w14:paraId="770E01BC" w14:textId="1B1040B3" w:rsidR="003E7CEB" w:rsidRPr="00CE4E4C" w:rsidRDefault="004F6083" w:rsidP="00C84FA3">
      <w:pPr>
        <w:kinsoku/>
        <w:topLinePunct/>
        <w:spacing w:line="58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（</w:t>
      </w:r>
      <w:r w:rsidRPr="00CE4E4C">
        <w:rPr>
          <w:rFonts w:ascii="Times New Roman" w:eastAsia="楷体_GB2312" w:hAnsi="Times New Roman" w:cs="Times New Roman" w:hint="eastAsia"/>
          <w:b/>
          <w:snapToGrid/>
          <w:color w:val="auto"/>
          <w:kern w:val="2"/>
          <w:sz w:val="32"/>
          <w:szCs w:val="32"/>
        </w:rPr>
        <w:t>二</w:t>
      </w:r>
      <w:r w:rsidRPr="00CE4E4C">
        <w:rPr>
          <w:rFonts w:ascii="Times New Roman" w:eastAsia="楷体_GB2312" w:hAnsi="Times New Roman" w:cs="Times New Roman"/>
          <w:b/>
          <w:snapToGrid/>
          <w:color w:val="auto"/>
          <w:kern w:val="2"/>
          <w:sz w:val="32"/>
          <w:szCs w:val="32"/>
        </w:rPr>
        <w:t>）做好推广宣传。</w:t>
      </w:r>
      <w:r w:rsidRPr="00CE4E4C">
        <w:rPr>
          <w:rFonts w:ascii="Times New Roman" w:eastAsia="仿宋_GB2312" w:hAnsi="Times New Roman" w:cs="Times New Roman"/>
          <w:spacing w:val="-16"/>
          <w:sz w:val="32"/>
          <w:szCs w:val="32"/>
        </w:rPr>
        <w:t>各</w:t>
      </w:r>
      <w:r w:rsidRPr="00CE4E4C">
        <w:rPr>
          <w:rFonts w:ascii="Times New Roman" w:eastAsia="仿宋_GB2312" w:hAnsi="Times New Roman" w:cs="Times New Roman"/>
          <w:sz w:val="32"/>
          <w:szCs w:val="32"/>
        </w:rPr>
        <w:t>市（州）</w:t>
      </w:r>
      <w:r w:rsidRPr="00CE4E4C">
        <w:rPr>
          <w:rFonts w:ascii="Times New Roman" w:eastAsia="仿宋_GB2312" w:hAnsi="Times New Roman" w:cs="Times New Roman"/>
          <w:spacing w:val="-16"/>
          <w:sz w:val="32"/>
          <w:szCs w:val="32"/>
        </w:rPr>
        <w:t>要切实加强</w:t>
      </w:r>
      <w:r w:rsidRPr="00CE4E4C">
        <w:rPr>
          <w:rFonts w:ascii="Times New Roman" w:eastAsia="仿宋_GB2312" w:hAnsi="Times New Roman" w:cs="Times New Roman"/>
          <w:spacing w:val="-16"/>
          <w:w w:val="98"/>
          <w:sz w:val="32"/>
          <w:szCs w:val="32"/>
        </w:rPr>
        <w:t>对电能替代政策、典型案例、示范项目的宣传力度，倡导绿色生产、绿色消费、绿色出行理念，引导企业、群众改变能源消费习</w:t>
      </w:r>
      <w:r w:rsidRPr="00CE4E4C">
        <w:rPr>
          <w:rFonts w:ascii="Times New Roman" w:eastAsia="仿宋_GB2312" w:hAnsi="Times New Roman" w:cs="Times New Roman"/>
          <w:spacing w:val="-9"/>
          <w:sz w:val="32"/>
          <w:szCs w:val="32"/>
        </w:rPr>
        <w:t>惯，</w:t>
      </w:r>
      <w:r w:rsidRPr="00CE4E4C">
        <w:rPr>
          <w:rFonts w:ascii="Times New Roman" w:eastAsia="仿宋_GB2312" w:hAnsi="Times New Roman" w:cs="Times New Roman" w:hint="eastAsia"/>
          <w:spacing w:val="-9"/>
          <w:sz w:val="32"/>
          <w:szCs w:val="32"/>
        </w:rPr>
        <w:t>引导</w:t>
      </w:r>
      <w:r w:rsidRPr="00CE4E4C">
        <w:rPr>
          <w:rFonts w:ascii="Times New Roman" w:eastAsia="仿宋_GB2312" w:hAnsi="Times New Roman" w:cs="Times New Roman"/>
          <w:spacing w:val="-9"/>
          <w:sz w:val="32"/>
          <w:szCs w:val="32"/>
        </w:rPr>
        <w:t>企业算好经济账、环保账，推动全社会参与电能替代。</w:t>
      </w:r>
    </w:p>
    <w:sectPr w:rsidR="003E7CEB" w:rsidRPr="00CE4E4C">
      <w:footerReference w:type="default" r:id="rId8"/>
      <w:pgSz w:w="11900" w:h="16780"/>
      <w:pgMar w:top="2098" w:right="1474" w:bottom="1985" w:left="15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FE95" w14:textId="77777777" w:rsidR="00917A63" w:rsidRDefault="00917A63">
      <w:r>
        <w:separator/>
      </w:r>
    </w:p>
  </w:endnote>
  <w:endnote w:type="continuationSeparator" w:id="0">
    <w:p w14:paraId="20CA020C" w14:textId="77777777" w:rsidR="00917A63" w:rsidRDefault="0091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EF25" w14:textId="77777777" w:rsidR="003E7CEB" w:rsidRDefault="003E7CE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11C7" w14:textId="77777777" w:rsidR="00917A63" w:rsidRDefault="00917A63">
      <w:r>
        <w:separator/>
      </w:r>
    </w:p>
  </w:footnote>
  <w:footnote w:type="continuationSeparator" w:id="0">
    <w:p w14:paraId="137E0EFE" w14:textId="77777777" w:rsidR="00917A63" w:rsidRDefault="0091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2EA6D0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BACCE8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4C40EC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BB8EE59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D64001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31016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A52E71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1C62B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A8C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B7A348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902179446">
    <w:abstractNumId w:val="8"/>
  </w:num>
  <w:num w:numId="2" w16cid:durableId="549849937">
    <w:abstractNumId w:val="3"/>
  </w:num>
  <w:num w:numId="3" w16cid:durableId="1572495683">
    <w:abstractNumId w:val="2"/>
  </w:num>
  <w:num w:numId="4" w16cid:durableId="271405067">
    <w:abstractNumId w:val="1"/>
  </w:num>
  <w:num w:numId="5" w16cid:durableId="1544754662">
    <w:abstractNumId w:val="0"/>
  </w:num>
  <w:num w:numId="6" w16cid:durableId="739399582">
    <w:abstractNumId w:val="9"/>
  </w:num>
  <w:num w:numId="7" w16cid:durableId="363408233">
    <w:abstractNumId w:val="7"/>
  </w:num>
  <w:num w:numId="8" w16cid:durableId="1931543021">
    <w:abstractNumId w:val="6"/>
  </w:num>
  <w:num w:numId="9" w16cid:durableId="1574512173">
    <w:abstractNumId w:val="5"/>
  </w:num>
  <w:num w:numId="10" w16cid:durableId="194511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5NTJkNTRkMDdkNWM2ODM1NDFhNTZjODA0ODUxZTYifQ=="/>
  </w:docVars>
  <w:rsids>
    <w:rsidRoot w:val="00915281"/>
    <w:rsid w:val="ABFBE17F"/>
    <w:rsid w:val="AFB5F46B"/>
    <w:rsid w:val="B7FBB727"/>
    <w:rsid w:val="B9DFC838"/>
    <w:rsid w:val="BBDF31CB"/>
    <w:rsid w:val="DBFBA85D"/>
    <w:rsid w:val="DEADD33A"/>
    <w:rsid w:val="EBFB6290"/>
    <w:rsid w:val="ED3DB430"/>
    <w:rsid w:val="EFFD604F"/>
    <w:rsid w:val="F9FE8923"/>
    <w:rsid w:val="FD3D9A3C"/>
    <w:rsid w:val="FDDDADBD"/>
    <w:rsid w:val="FEEF5CD0"/>
    <w:rsid w:val="FF6D8D44"/>
    <w:rsid w:val="FF7FB318"/>
    <w:rsid w:val="FFD77A16"/>
    <w:rsid w:val="FFDB15A1"/>
    <w:rsid w:val="FFFF714B"/>
    <w:rsid w:val="FFFF8F77"/>
    <w:rsid w:val="00004CA9"/>
    <w:rsid w:val="00040301"/>
    <w:rsid w:val="00043857"/>
    <w:rsid w:val="00052ABB"/>
    <w:rsid w:val="00054FCC"/>
    <w:rsid w:val="00062386"/>
    <w:rsid w:val="000B29AA"/>
    <w:rsid w:val="000D782D"/>
    <w:rsid w:val="000E2E7F"/>
    <w:rsid w:val="000E577C"/>
    <w:rsid w:val="000E5787"/>
    <w:rsid w:val="000F2BEE"/>
    <w:rsid w:val="00123AE7"/>
    <w:rsid w:val="00125AE3"/>
    <w:rsid w:val="00135E3E"/>
    <w:rsid w:val="0014722B"/>
    <w:rsid w:val="001518A3"/>
    <w:rsid w:val="00155084"/>
    <w:rsid w:val="001627CD"/>
    <w:rsid w:val="00164CEB"/>
    <w:rsid w:val="001B6AA0"/>
    <w:rsid w:val="001B7CDC"/>
    <w:rsid w:val="001F0155"/>
    <w:rsid w:val="001F2015"/>
    <w:rsid w:val="001F304B"/>
    <w:rsid w:val="001F3CA9"/>
    <w:rsid w:val="001F6DF0"/>
    <w:rsid w:val="00242E29"/>
    <w:rsid w:val="00246E4A"/>
    <w:rsid w:val="002605B4"/>
    <w:rsid w:val="00261E7C"/>
    <w:rsid w:val="00263D0B"/>
    <w:rsid w:val="00276FE1"/>
    <w:rsid w:val="0028081C"/>
    <w:rsid w:val="00281193"/>
    <w:rsid w:val="0029157B"/>
    <w:rsid w:val="002B2D4F"/>
    <w:rsid w:val="002C550C"/>
    <w:rsid w:val="002F0E5A"/>
    <w:rsid w:val="00305600"/>
    <w:rsid w:val="00321F7E"/>
    <w:rsid w:val="00326533"/>
    <w:rsid w:val="00335B41"/>
    <w:rsid w:val="003529F8"/>
    <w:rsid w:val="003806DE"/>
    <w:rsid w:val="00392E74"/>
    <w:rsid w:val="003A2AD1"/>
    <w:rsid w:val="003D4F72"/>
    <w:rsid w:val="003E7CEB"/>
    <w:rsid w:val="00413A09"/>
    <w:rsid w:val="004235B6"/>
    <w:rsid w:val="004442C2"/>
    <w:rsid w:val="0047763A"/>
    <w:rsid w:val="0048164B"/>
    <w:rsid w:val="00484640"/>
    <w:rsid w:val="0048724D"/>
    <w:rsid w:val="004963E6"/>
    <w:rsid w:val="00496FDF"/>
    <w:rsid w:val="004B051D"/>
    <w:rsid w:val="004B5CC2"/>
    <w:rsid w:val="004E2100"/>
    <w:rsid w:val="004E2C6C"/>
    <w:rsid w:val="004E76C3"/>
    <w:rsid w:val="004F6083"/>
    <w:rsid w:val="0050240B"/>
    <w:rsid w:val="0054624C"/>
    <w:rsid w:val="00551BA0"/>
    <w:rsid w:val="00552854"/>
    <w:rsid w:val="00554F2C"/>
    <w:rsid w:val="00565F0E"/>
    <w:rsid w:val="00573D50"/>
    <w:rsid w:val="00573FB6"/>
    <w:rsid w:val="00585FA6"/>
    <w:rsid w:val="0059039A"/>
    <w:rsid w:val="005923BB"/>
    <w:rsid w:val="005952F5"/>
    <w:rsid w:val="005A67E5"/>
    <w:rsid w:val="005A7523"/>
    <w:rsid w:val="005D1BFB"/>
    <w:rsid w:val="005F4555"/>
    <w:rsid w:val="00621ACE"/>
    <w:rsid w:val="006370A5"/>
    <w:rsid w:val="00640A36"/>
    <w:rsid w:val="00643180"/>
    <w:rsid w:val="006455AF"/>
    <w:rsid w:val="006756FB"/>
    <w:rsid w:val="0068059B"/>
    <w:rsid w:val="00695339"/>
    <w:rsid w:val="006954F4"/>
    <w:rsid w:val="00695753"/>
    <w:rsid w:val="006A2276"/>
    <w:rsid w:val="006B51D8"/>
    <w:rsid w:val="006B7950"/>
    <w:rsid w:val="006D40D7"/>
    <w:rsid w:val="006E0997"/>
    <w:rsid w:val="00701421"/>
    <w:rsid w:val="00702552"/>
    <w:rsid w:val="0070757D"/>
    <w:rsid w:val="0071766E"/>
    <w:rsid w:val="007206C9"/>
    <w:rsid w:val="00723923"/>
    <w:rsid w:val="00723F48"/>
    <w:rsid w:val="00730423"/>
    <w:rsid w:val="007312F4"/>
    <w:rsid w:val="0073439C"/>
    <w:rsid w:val="00734AAA"/>
    <w:rsid w:val="00751139"/>
    <w:rsid w:val="007530A5"/>
    <w:rsid w:val="00757895"/>
    <w:rsid w:val="00765D77"/>
    <w:rsid w:val="00775C63"/>
    <w:rsid w:val="00793189"/>
    <w:rsid w:val="0079493B"/>
    <w:rsid w:val="007A0924"/>
    <w:rsid w:val="007A329C"/>
    <w:rsid w:val="007B5D72"/>
    <w:rsid w:val="007C6F6B"/>
    <w:rsid w:val="007D57B6"/>
    <w:rsid w:val="007D6023"/>
    <w:rsid w:val="00806EF7"/>
    <w:rsid w:val="0081473B"/>
    <w:rsid w:val="008157D0"/>
    <w:rsid w:val="00816BE8"/>
    <w:rsid w:val="00825ECE"/>
    <w:rsid w:val="00835B1F"/>
    <w:rsid w:val="00835C7E"/>
    <w:rsid w:val="0084757F"/>
    <w:rsid w:val="00856EFB"/>
    <w:rsid w:val="00864302"/>
    <w:rsid w:val="008667B8"/>
    <w:rsid w:val="00877CE5"/>
    <w:rsid w:val="00893B30"/>
    <w:rsid w:val="008948A5"/>
    <w:rsid w:val="0089565D"/>
    <w:rsid w:val="008A08F0"/>
    <w:rsid w:val="008A7166"/>
    <w:rsid w:val="008B5464"/>
    <w:rsid w:val="008F1ADF"/>
    <w:rsid w:val="008F5AA8"/>
    <w:rsid w:val="009023C6"/>
    <w:rsid w:val="009066D0"/>
    <w:rsid w:val="00915281"/>
    <w:rsid w:val="00917A63"/>
    <w:rsid w:val="00937CB5"/>
    <w:rsid w:val="00946168"/>
    <w:rsid w:val="00960521"/>
    <w:rsid w:val="0096795E"/>
    <w:rsid w:val="0097275A"/>
    <w:rsid w:val="009A33D8"/>
    <w:rsid w:val="009B0DF1"/>
    <w:rsid w:val="009D2ECA"/>
    <w:rsid w:val="00A02426"/>
    <w:rsid w:val="00A37639"/>
    <w:rsid w:val="00A37C91"/>
    <w:rsid w:val="00A41CA9"/>
    <w:rsid w:val="00A422A5"/>
    <w:rsid w:val="00A44E48"/>
    <w:rsid w:val="00A46D60"/>
    <w:rsid w:val="00A50611"/>
    <w:rsid w:val="00A52F05"/>
    <w:rsid w:val="00A5651C"/>
    <w:rsid w:val="00A57BB3"/>
    <w:rsid w:val="00A71B10"/>
    <w:rsid w:val="00A82484"/>
    <w:rsid w:val="00AA1DFB"/>
    <w:rsid w:val="00AB5252"/>
    <w:rsid w:val="00AB607B"/>
    <w:rsid w:val="00AB6660"/>
    <w:rsid w:val="00AC41C6"/>
    <w:rsid w:val="00AE3420"/>
    <w:rsid w:val="00B0225D"/>
    <w:rsid w:val="00B056DE"/>
    <w:rsid w:val="00B06117"/>
    <w:rsid w:val="00B47F21"/>
    <w:rsid w:val="00B5443E"/>
    <w:rsid w:val="00B5588B"/>
    <w:rsid w:val="00B623B1"/>
    <w:rsid w:val="00B67F69"/>
    <w:rsid w:val="00BA4FCE"/>
    <w:rsid w:val="00BC65F2"/>
    <w:rsid w:val="00BD4A28"/>
    <w:rsid w:val="00C279F5"/>
    <w:rsid w:val="00C33AA7"/>
    <w:rsid w:val="00C33C4F"/>
    <w:rsid w:val="00C3602B"/>
    <w:rsid w:val="00C36DFD"/>
    <w:rsid w:val="00C47DF8"/>
    <w:rsid w:val="00C52631"/>
    <w:rsid w:val="00C55119"/>
    <w:rsid w:val="00C60B71"/>
    <w:rsid w:val="00C84FA3"/>
    <w:rsid w:val="00C85223"/>
    <w:rsid w:val="00C86A94"/>
    <w:rsid w:val="00C957DF"/>
    <w:rsid w:val="00CA58E3"/>
    <w:rsid w:val="00CA6202"/>
    <w:rsid w:val="00CB1D39"/>
    <w:rsid w:val="00CB3194"/>
    <w:rsid w:val="00CD18F9"/>
    <w:rsid w:val="00CD7993"/>
    <w:rsid w:val="00CD7C8E"/>
    <w:rsid w:val="00CE4E4C"/>
    <w:rsid w:val="00D020AE"/>
    <w:rsid w:val="00D12C45"/>
    <w:rsid w:val="00D12E61"/>
    <w:rsid w:val="00D31A88"/>
    <w:rsid w:val="00D5157E"/>
    <w:rsid w:val="00D759D0"/>
    <w:rsid w:val="00DA7641"/>
    <w:rsid w:val="00DC2415"/>
    <w:rsid w:val="00DF14AF"/>
    <w:rsid w:val="00DF4999"/>
    <w:rsid w:val="00DF7D10"/>
    <w:rsid w:val="00E051B8"/>
    <w:rsid w:val="00E06E8E"/>
    <w:rsid w:val="00E21E79"/>
    <w:rsid w:val="00E36E63"/>
    <w:rsid w:val="00E424DC"/>
    <w:rsid w:val="00E50C6A"/>
    <w:rsid w:val="00E50D8C"/>
    <w:rsid w:val="00E51DD3"/>
    <w:rsid w:val="00E534C7"/>
    <w:rsid w:val="00E72683"/>
    <w:rsid w:val="00E93019"/>
    <w:rsid w:val="00EC7505"/>
    <w:rsid w:val="00EE1ACD"/>
    <w:rsid w:val="00EE364F"/>
    <w:rsid w:val="00EE6C22"/>
    <w:rsid w:val="00F127C9"/>
    <w:rsid w:val="00F153BA"/>
    <w:rsid w:val="00F20EDB"/>
    <w:rsid w:val="00F559FF"/>
    <w:rsid w:val="00F57CBD"/>
    <w:rsid w:val="00F64C20"/>
    <w:rsid w:val="00F724B6"/>
    <w:rsid w:val="00F92D88"/>
    <w:rsid w:val="00FA0348"/>
    <w:rsid w:val="00FA3158"/>
    <w:rsid w:val="00FD5917"/>
    <w:rsid w:val="00FF630E"/>
    <w:rsid w:val="02695591"/>
    <w:rsid w:val="03000E2C"/>
    <w:rsid w:val="05E36249"/>
    <w:rsid w:val="07206D93"/>
    <w:rsid w:val="083C5FBE"/>
    <w:rsid w:val="086558DA"/>
    <w:rsid w:val="08F467A0"/>
    <w:rsid w:val="094E63FA"/>
    <w:rsid w:val="09DC73B4"/>
    <w:rsid w:val="0B71503A"/>
    <w:rsid w:val="0EB84AD8"/>
    <w:rsid w:val="0FD1462C"/>
    <w:rsid w:val="10155E6D"/>
    <w:rsid w:val="104D0834"/>
    <w:rsid w:val="118A4C1B"/>
    <w:rsid w:val="12666393"/>
    <w:rsid w:val="149F664F"/>
    <w:rsid w:val="171D16C3"/>
    <w:rsid w:val="1ADF16DB"/>
    <w:rsid w:val="1CB3469D"/>
    <w:rsid w:val="1DC733CE"/>
    <w:rsid w:val="1DCE37AE"/>
    <w:rsid w:val="1F213256"/>
    <w:rsid w:val="1F47A240"/>
    <w:rsid w:val="20A76ABF"/>
    <w:rsid w:val="23635FFF"/>
    <w:rsid w:val="252E7E93"/>
    <w:rsid w:val="25DA45D0"/>
    <w:rsid w:val="26B8389F"/>
    <w:rsid w:val="276FE7E7"/>
    <w:rsid w:val="27954530"/>
    <w:rsid w:val="27CE0BE4"/>
    <w:rsid w:val="28316D5D"/>
    <w:rsid w:val="2B272929"/>
    <w:rsid w:val="2B3E3A5A"/>
    <w:rsid w:val="2BF17B6F"/>
    <w:rsid w:val="2EF54E9C"/>
    <w:rsid w:val="2FFF9032"/>
    <w:rsid w:val="31972C6C"/>
    <w:rsid w:val="320302D4"/>
    <w:rsid w:val="3303204F"/>
    <w:rsid w:val="350A6220"/>
    <w:rsid w:val="37484B0B"/>
    <w:rsid w:val="38B5741C"/>
    <w:rsid w:val="3B502E95"/>
    <w:rsid w:val="3BA03BA9"/>
    <w:rsid w:val="3E9C5B90"/>
    <w:rsid w:val="3EF316A3"/>
    <w:rsid w:val="3F17074F"/>
    <w:rsid w:val="3F5B894E"/>
    <w:rsid w:val="422854EA"/>
    <w:rsid w:val="423F693A"/>
    <w:rsid w:val="42B52772"/>
    <w:rsid w:val="4385502C"/>
    <w:rsid w:val="43FE7D42"/>
    <w:rsid w:val="4630145E"/>
    <w:rsid w:val="467A724D"/>
    <w:rsid w:val="48C369F6"/>
    <w:rsid w:val="496B278E"/>
    <w:rsid w:val="4AF10C32"/>
    <w:rsid w:val="4B335D88"/>
    <w:rsid w:val="4B5B7A50"/>
    <w:rsid w:val="4D67053E"/>
    <w:rsid w:val="4F026374"/>
    <w:rsid w:val="50602074"/>
    <w:rsid w:val="50FE67A8"/>
    <w:rsid w:val="510B4D16"/>
    <w:rsid w:val="51754B6D"/>
    <w:rsid w:val="5270668A"/>
    <w:rsid w:val="534664C3"/>
    <w:rsid w:val="534B0238"/>
    <w:rsid w:val="53E277EE"/>
    <w:rsid w:val="54417C79"/>
    <w:rsid w:val="55541494"/>
    <w:rsid w:val="57725C3B"/>
    <w:rsid w:val="58402E66"/>
    <w:rsid w:val="5DFC64F3"/>
    <w:rsid w:val="5EB05628"/>
    <w:rsid w:val="5EEF79FF"/>
    <w:rsid w:val="5F5B6260"/>
    <w:rsid w:val="5F6AE1AF"/>
    <w:rsid w:val="5FBE05CF"/>
    <w:rsid w:val="5FFB8A76"/>
    <w:rsid w:val="60693F19"/>
    <w:rsid w:val="621F65A9"/>
    <w:rsid w:val="637949C8"/>
    <w:rsid w:val="64561169"/>
    <w:rsid w:val="664C1EA4"/>
    <w:rsid w:val="67166411"/>
    <w:rsid w:val="674C5578"/>
    <w:rsid w:val="67BBC4C4"/>
    <w:rsid w:val="6A0F794A"/>
    <w:rsid w:val="6B0D20E1"/>
    <w:rsid w:val="6BDF7024"/>
    <w:rsid w:val="6C176A40"/>
    <w:rsid w:val="6E13783E"/>
    <w:rsid w:val="6ED2C348"/>
    <w:rsid w:val="75B9759E"/>
    <w:rsid w:val="75BEBFF1"/>
    <w:rsid w:val="76FCAC90"/>
    <w:rsid w:val="76FFB357"/>
    <w:rsid w:val="77314BB4"/>
    <w:rsid w:val="797F53B0"/>
    <w:rsid w:val="7A1E5EBE"/>
    <w:rsid w:val="7BB5033E"/>
    <w:rsid w:val="7BEE68AF"/>
    <w:rsid w:val="7C9FE740"/>
    <w:rsid w:val="7D7FB2FF"/>
    <w:rsid w:val="7DAC276E"/>
    <w:rsid w:val="7DAEA320"/>
    <w:rsid w:val="7DE66D1C"/>
    <w:rsid w:val="7E9F0162"/>
    <w:rsid w:val="7EFF8BF9"/>
    <w:rsid w:val="7F9B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5C4E64"/>
  <w15:docId w15:val="{EBD9AD87-F6B5-44D1-A44C-5890581B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图表目录1"/>
    <w:basedOn w:val="New"/>
    <w:next w:val="a"/>
    <w:qFormat/>
    <w:pPr>
      <w:spacing w:before="100" w:beforeAutospacing="1" w:after="100" w:afterAutospacing="1"/>
      <w:ind w:leftChars="200" w:left="200" w:hangingChars="200" w:hanging="200"/>
    </w:pPr>
    <w:rPr>
      <w:rFonts w:ascii="Times New Roman" w:eastAsia="宋体" w:hAnsi="Times New Roman" w:cs="Times New Roman"/>
      <w:sz w:val="21"/>
      <w:szCs w:val="21"/>
    </w:rPr>
  </w:style>
  <w:style w:type="paragraph" w:customStyle="1" w:styleId="New">
    <w:name w:val="正文 New"/>
    <w:next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zh-CN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页脚 字符"/>
    <w:basedOn w:val="a0"/>
    <w:link w:val="a3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customStyle="1" w:styleId="3">
    <w:name w:val="修订3"/>
    <w:hidden/>
    <w:uiPriority w:val="99"/>
    <w:semiHidden/>
    <w:qFormat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7">
    <w:name w:val="Revision"/>
    <w:hidden/>
    <w:uiPriority w:val="99"/>
    <w:semiHidden/>
    <w:rsid w:val="00F153BA"/>
    <w:rPr>
      <w:rFonts w:ascii="Arial" w:eastAsia="Arial" w:hAnsi="Arial" w:cs="Arial"/>
      <w:snapToGrid w:val="0"/>
      <w:color w:val="000000"/>
      <w:sz w:val="21"/>
      <w:szCs w:val="21"/>
    </w:rPr>
  </w:style>
  <w:style w:type="character" w:styleId="a8">
    <w:name w:val="annotation reference"/>
    <w:basedOn w:val="a0"/>
    <w:rsid w:val="005A67E5"/>
    <w:rPr>
      <w:sz w:val="21"/>
      <w:szCs w:val="21"/>
    </w:rPr>
  </w:style>
  <w:style w:type="paragraph" w:styleId="a9">
    <w:name w:val="annotation text"/>
    <w:basedOn w:val="a"/>
    <w:link w:val="aa"/>
    <w:rsid w:val="005A67E5"/>
  </w:style>
  <w:style w:type="character" w:customStyle="1" w:styleId="aa">
    <w:name w:val="批注文字 字符"/>
    <w:basedOn w:val="a0"/>
    <w:link w:val="a9"/>
    <w:rsid w:val="005A67E5"/>
    <w:rPr>
      <w:rFonts w:ascii="Arial" w:eastAsia="Arial" w:hAnsi="Arial" w:cs="Arial"/>
      <w:snapToGrid w:val="0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5A67E5"/>
    <w:rPr>
      <w:b/>
      <w:bCs/>
    </w:rPr>
  </w:style>
  <w:style w:type="character" w:customStyle="1" w:styleId="ac">
    <w:name w:val="批注主题 字符"/>
    <w:basedOn w:val="aa"/>
    <w:link w:val="ab"/>
    <w:rsid w:val="005A67E5"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8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行思</cp:lastModifiedBy>
  <cp:revision>25</cp:revision>
  <cp:lastPrinted>2022-11-02T02:55:00Z</cp:lastPrinted>
  <dcterms:created xsi:type="dcterms:W3CDTF">2022-10-28T09:28:00Z</dcterms:created>
  <dcterms:modified xsi:type="dcterms:W3CDTF">2022-11-04T10:39:00Z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2022-03-09T16:18:33Z</vt:filetime>
  </property>
  <property fmtid="{D5CDD505-2E9C-101B-9397-08002B2CF9AE}" pid="4" name="KSOProductBuildVer">
    <vt:lpwstr>2052-11.8.2.10125</vt:lpwstr>
  </property>
  <property fmtid="{D5CDD505-2E9C-101B-9397-08002B2CF9AE}" pid="5" name="ICV">
    <vt:lpwstr>1F6DEB68419E45CDB8BC7EEA27B482BD</vt:lpwstr>
  </property>
</Properties>
</file>