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Style w:val="9"/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Lines="0" w:after="0" w:afterLines="0" w:line="520" w:lineRule="exact"/>
        <w:ind w:firstLine="20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关于进一步加快</w:t>
      </w:r>
      <w:r>
        <w:rPr>
          <w:rFonts w:hint="eastAsia" w:ascii="方正小标宋简体" w:hAnsi="Calibri" w:eastAsia="方正小标宋简体"/>
          <w:sz w:val="44"/>
          <w:szCs w:val="44"/>
          <w:lang w:val="en-US" w:eastAsia="zh-CN"/>
        </w:rPr>
        <w:t>我市光伏发电项目建设的实施意见（征求意见稿）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为加快建立清洁低碳、安全高效的现代能源体系，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提高我市电力自给能力，落实碳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达峰碳中和重大决策部署，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《浙江省可再生能源发展“十四五”规划》、《杭州市可再生能源发展“十四五”规划》，制订本实施意见。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Toc18114"/>
      <w:bookmarkStart w:id="1" w:name="_Toc28370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发展目标</w:t>
      </w:r>
      <w:bookmarkEnd w:id="0"/>
      <w:bookmarkEnd w:id="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“十四五”期间，确保新增光伏装机容量1200兆瓦以上，力争达到2000兆瓦以上，累计装机330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兆瓦以上。各区、县（市）光伏装机任务见附件。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实施重点</w:t>
      </w:r>
    </w:p>
    <w:p>
      <w:pPr>
        <w:pStyle w:val="13"/>
        <w:keepNext w:val="0"/>
        <w:keepLines w:val="0"/>
        <w:pageBreakBefore w:val="0"/>
        <w:widowControl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（一）推进整县（市、区）屋顶分布式光伏开发试点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淳安县、拱墅区、萧山区、钱塘区、临平区、建德市、桐庐县等七个区、县（市）按《浙江省整县（市、区）推进屋顶分布式光伏开发工作导则》相关要求开展工作。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（二）促进光伏产业迭代升级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科研院所、高校、光伏企业开展前沿技术研发，抢占光伏技术高地。大力支持本地光伏龙头企业、光伏新技术企业加大研发投入，建设市级以上企业工程（技术）中心、研究中心、研究院、重点实验室等，推动行业技术进步，提高产业核心竞争力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控制新上单纯扩大产能的低水平光伏制造项目，加快淘汰落后产能。支持我市光伏生产企业购置工艺先进、节能环保的生产设备，提高产品质量和技术水平、降低生产成本，扩大生产规模，满足市场对先进光伏产品的需求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引导光伏骨干企业参照光伏行业绿色制造相关标准要求，开展绿色产品、绿色工厂评价，打造绿色供应链；建立废弃光伏产品回收与利用处理网络体系。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（三）全面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推进“光伏+”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8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1、“光伏+”工业领域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现有年综合能耗超过1000吨标煤且具备光伏安装条件的企业（项目），原则上都要配套建设光伏。新建厂房及配套用房或者老旧厂房升级改造，按照“宜建尽建”的原则进行光伏开发利用。屋顶配套建设光伏作为新增用能项目节能报告审查的必查条件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推动各类国有企业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建设光伏设施。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适合安装光伏的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具备安装条件及安装价值，下同）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自来水厂、污水处理厂等公共基础设施的大型构筑物（建筑物）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，必须全部安装；同时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在新建项目的构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筑物规划和设计时必须考虑光伏配套建设设计。</w:t>
      </w:r>
    </w:p>
    <w:p>
      <w:pPr>
        <w:pStyle w:val="15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580" w:lineRule="exact"/>
        <w:ind w:lef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“光伏+”公共建筑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公共建筑应充分发挥光伏建设示范引领作用。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政府机关、事业单位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办公楼屋顶及车棚顶；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各类公共体育馆、城市展览馆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、会展中心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屋顶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、立面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及车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库（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棚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"/>
        </w:rPr>
        <w:t>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各类学校行政办公楼、实验楼、教学楼、体育馆、图书馆、宿舍屋顶及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库（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棚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顶；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各类公立医院住院楼、门诊楼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屋顶及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库（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棚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旅游度假区、公园、游乐园、植物园、文博院馆等文化旅游景区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游客集散中心、管理用房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屋顶、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库（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棚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"/>
        </w:rPr>
        <w:t>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，适合安装光伏的，原则上要应装尽装。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承载能力不足的或异形屋顶，鼓励采用柔性光伏设施。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鼓励采用光伏组件一体化屋面发电系统、一体化新能源照明设施和具有通风散热功能的光伏幕墙应用。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“光伏+”交通领域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适合安装光伏的较大公交停车场顶棚、车站、机场、港口码头等建筑屋顶，须安装光伏设施。鼓励在一般公交车站、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路灯、交通信号灯、交通警示灯、交通标志灯、交通指示牌等交通设施领域推动光伏应用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鼓励在高速收费站、互通、服务区、隧道出入口处、边坡、隔音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障等建设光伏设施或采用一体化光伏产品。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firstLine="626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32"/>
          <w:szCs w:val="32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/>
          <w:bCs/>
          <w:spacing w:val="-4"/>
          <w:sz w:val="32"/>
          <w:szCs w:val="32"/>
        </w:rPr>
        <w:t>“光伏+”商业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适合安装光伏的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商业综合体、大型超市、宾馆、餐饮、影院、剧院、仓储物流园区、商务写字楼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等各类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商业建筑屋顶及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库（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棚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highlight w:val="none"/>
          <w:lang w:val="en"/>
        </w:rPr>
        <w:t>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，须安装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光伏设施。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鼓励采用光伏一体化发电系统、一体化新能源照明设施和光伏幕墙应用。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firstLine="62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32"/>
          <w:szCs w:val="32"/>
          <w:lang w:val="en-US" w:eastAsia="zh-CN"/>
        </w:rPr>
        <w:t>5、“光伏+”居民领域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pacing w:before="0" w:beforeAutospacing="0" w:after="0" w:afterAutospacing="0" w:line="580" w:lineRule="exact"/>
        <w:ind w:left="0" w:right="0" w:firstLine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城市新建居住建筑（含联排别墅、住宅小区、公寓楼、安置房）及其公共配套设施建筑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必须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建设光伏发电系统，其安装比例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达到浙江省《民用建筑可再生能源应用核算标准》DB33/1105规定。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bidi w:val="0"/>
        <w:spacing w:before="0" w:beforeAutospacing="0" w:after="0" w:afterAutospacing="0" w:line="580" w:lineRule="exact"/>
        <w:ind w:left="0" w:right="0" w:firstLine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鼓励在既有居住建筑（含老旧小区）及其公共配套设施建筑屋顶及庭院、车棚顶建设光伏设施。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0" w:lineRule="exact"/>
        <w:ind w:left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鼓励在村委会、经济合作社、文化大礼堂等大楼屋顶建设光伏设施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鼓励村民利用自建房屋顶、庭院建设光伏设施，加快清洁能源在农村普及与发展。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firstLine="62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32"/>
          <w:szCs w:val="32"/>
          <w:lang w:val="en-US" w:eastAsia="zh-CN"/>
        </w:rPr>
        <w:t>6、“光伏+”农林领域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推进复合型农光互补、菌光互补、渔光互补、茶光互补、林光互补等光伏电站建设。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在符合国土空间规划和复合用地标准的前提下，支持利用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设施农业，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一般农用地、园地、滩涂、垦造地、荒山荒坡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废弃土地（如矿坑）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等建设农（林、茶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）光互补项目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支持在符合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相关法律法规要求的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水域建设光伏发电系统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支持在养殖鱼塘等水面建设渔光互补光伏发电项目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农业农村、规资</w:t>
      </w:r>
      <w:r>
        <w:rPr>
          <w:rFonts w:hint="eastAsia" w:ascii="仿宋_GB2312" w:eastAsia="仿宋_GB2312"/>
          <w:sz w:val="32"/>
          <w:szCs w:val="32"/>
          <w:lang w:eastAsia="zh-CN"/>
        </w:rPr>
        <w:t>、林水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eastAsia="zh-CN"/>
        </w:rPr>
        <w:t>积极配合开展</w:t>
      </w:r>
      <w:r>
        <w:rPr>
          <w:rFonts w:hint="eastAsia" w:ascii="仿宋_GB2312" w:eastAsia="仿宋_GB2312"/>
          <w:sz w:val="32"/>
          <w:szCs w:val="32"/>
        </w:rPr>
        <w:t>光伏项目场地</w:t>
      </w:r>
      <w:r>
        <w:rPr>
          <w:rFonts w:hint="eastAsia" w:ascii="仿宋_GB2312" w:eastAsia="仿宋_GB2312"/>
          <w:sz w:val="32"/>
          <w:szCs w:val="32"/>
          <w:lang w:eastAsia="zh-CN"/>
        </w:rPr>
        <w:t>、用地核实工作。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firstLine="624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-4"/>
          <w:sz w:val="32"/>
          <w:szCs w:val="32"/>
          <w:lang w:val="en-US" w:eastAsia="zh-CN"/>
        </w:rPr>
        <w:t>（四）创新发展模式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580" w:lineRule="exact"/>
        <w:ind w:left="0" w:right="0" w:firstLine="624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探索在已有茶园上开展光伏应用的示范项目建设，制定光伏茶园标准规范；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水面光伏项目对水质、生态环境的影响，制定水面光伏生态化建设标准规范；探索在废弃土地（如矿坑）上建设光伏发电项目，增加土地可利用价值</w:t>
      </w:r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highlight w:val="none"/>
          <w:lang w:val="en-US" w:eastAsia="zh-CN" w:bidi="ar"/>
        </w:rPr>
        <w:t>国家另有规定的除外。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产业集聚区、产业园区、科技园区、特色小镇、绿色低碳园区、绿色低碳工厂、低（零）碳示范村（社区）等开展以光伏为主体的多能互补、源网荷储、微电网等分布式综合能源站项目建设，建立能容纳高比例波动性电力的局域高弹性电力系统，实现能源生产和使用的智能化匹配及协同运行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理顺光伏项目技改与退出机制。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既有光伏项目开展发电效能监测分析，并实施技术改造，提升发电效率与低碳效能；允许通过改造升级腾退屋顶资源新上光伏项目。光伏项目投资方、业主方、运营方或利益关联方不得擅自关停项目，擅自关停的，取消相关政策优惠；确实有需要的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应向当地发改部门提出申请并告知电网企业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overflowPunct/>
        <w:topLinePunct w:val="0"/>
        <w:bidi w:val="0"/>
        <w:spacing w:line="58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积极探索临时用地及建筑工地光伏开发利用机制、</w:t>
      </w:r>
      <w:r>
        <w:rPr>
          <w:rFonts w:hint="eastAsia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共有产权屋顶光伏建设机制、</w:t>
      </w:r>
      <w:r>
        <w:rPr>
          <w:rFonts w:hint="default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老旧小区改造光伏</w:t>
      </w:r>
      <w:r>
        <w:rPr>
          <w:rFonts w:hint="eastAsia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配套机制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加快升级杭州能源双碳数智平台，开展光伏发展潜力、运营模式、发电效率分析研判，服务企业项目申报、建设运营、补贴申领等工作，数字化赋能光伏发展。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三、政策支持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left="0" w:right="0" w:firstLine="640" w:firstLineChars="200"/>
        <w:jc w:val="both"/>
        <w:textAlignment w:val="center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简化审批（备案）程序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80" w:lineRule="exact"/>
        <w:ind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区、县（市）建立光伏项目集中审批绿色通道，优化新建建（构）筑物安装光伏的备案流程。简化新（在）建建（构）筑物光伏发电项目备案申请资料，允许以土地合法证明、建筑项目审批表等替代房屋产权证明材料，在项目并网申请阶段，以新建建筑项目赋码替代分布式光伏发电项目赋码，加快项目并网投运进程。制定项目准入负面清单和企业承诺事项清单。</w:t>
      </w:r>
      <w:r>
        <w:rPr>
          <w:rFonts w:hint="default" w:ascii="仿宋_GB2312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对以光伏为主体的多能互补、源网荷储、微电网等综合能源项目，可作为整体进行统一备案。建立负面清单制度，对涉嫌倒卖项目前期文件、长期占据资源不开发</w:t>
      </w:r>
      <w:r>
        <w:rPr>
          <w:rFonts w:hint="eastAsia" w:ascii="仿宋_GB2312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（超过项目备案两年）</w:t>
      </w:r>
      <w:r>
        <w:rPr>
          <w:rFonts w:hint="default" w:ascii="仿宋_GB2312" w:hAnsi="Times New Roman" w:eastAsia="仿宋_GB2312" w:cs="仿宋_GB2312"/>
          <w:spacing w:val="0"/>
          <w:kern w:val="0"/>
          <w:sz w:val="32"/>
          <w:szCs w:val="32"/>
          <w:lang w:val="en-US" w:eastAsia="zh-CN" w:bidi="ar"/>
        </w:rPr>
        <w:t>以及电站运维情况较差、农（林、渔）业实施不到位等业主及企业，经核实后纳入黑名单和电力领域失信联合惩戒对象名单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80" w:lineRule="exact"/>
        <w:ind w:firstLine="640" w:firstLineChars="200"/>
        <w:contextualSpacing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（二）建立光伏发电消纳保障机制。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/>
        <w:spacing w:line="58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注重开发应用与电网接入消纳的有效衔接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电网公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司综合考虑本地区电网的承载能力、潮流电压、消纳情况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，进行用能、产能、储能的区域平衡。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加强对配电网的升级改造，倡导因地制宜、安全、经济的并网接入方式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保障光伏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的大规模接入需求，确保大量分布式光伏并网后的安全稳定运行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建立分布式光伏发电可接入容量和限制接入区域清单发布机制，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实现合理并网消纳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（三）加强政府项目建设管理。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强化源头管理，公共机构、医院、学校等使用财政资金或以财政资金为主的公共建筑新建项目，原则上要把光伏作为重要内容统一规划设计；鼓励光伏项目采用市场化运作方式，引入社会力量投资。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（四）加强用地保障。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left="0" w:firstLine="624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结合新一轮国土空间规划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lang w:eastAsia="zh-CN"/>
        </w:rPr>
        <w:t>调整工作</w:t>
      </w:r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，在</w:t>
      </w:r>
      <w:r>
        <w:rPr>
          <w:rFonts w:hint="eastAsia" w:ascii="仿宋_GB2312" w:eastAsia="仿宋_GB2312"/>
          <w:color w:val="000000"/>
          <w:spacing w:val="-4"/>
          <w:sz w:val="32"/>
          <w:szCs w:val="32"/>
          <w:lang w:eastAsia="zh-CN"/>
        </w:rPr>
        <w:t>“三区三线”</w:t>
      </w:r>
      <w:r>
        <w:rPr>
          <w:rFonts w:hint="eastAsia" w:ascii="仿宋_GB2312" w:eastAsia="仿宋_GB2312"/>
          <w:color w:val="000000"/>
          <w:spacing w:val="-4"/>
          <w:sz w:val="32"/>
          <w:szCs w:val="32"/>
        </w:rPr>
        <w:t>的基础上，</w:t>
      </w:r>
      <w:r>
        <w:rPr>
          <w:rFonts w:hint="eastAsia" w:ascii="仿宋_GB2312" w:eastAsia="仿宋_GB2312"/>
          <w:sz w:val="32"/>
          <w:szCs w:val="32"/>
        </w:rPr>
        <w:t>加强对光伏发电项目国土空间、用地指标的保障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 w:val="0"/>
        <w:spacing w:beforeAutospacing="0" w:afterAutospacing="0" w:line="58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具体空间利用负面清单及复合用地政策按省发展改革委、省能源局、省林业局相关文件执行。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（五）实施财政激励政策。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firstLine="624" w:firstLineChars="200"/>
        <w:jc w:val="both"/>
        <w:textAlignment w:val="auto"/>
        <w:rPr>
          <w:rFonts w:hint="default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鼓励各区、县（市）和各开发区（产业集聚区）结合实际出台光伏补贴政策。市财政每年安排一定资金对杭州市范围内</w:t>
      </w:r>
      <w:r>
        <w:rPr>
          <w:rFonts w:hint="default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21-</w:t>
      </w:r>
      <w:r>
        <w:rPr>
          <w:rFonts w:hint="default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25</w:t>
      </w:r>
      <w:r>
        <w:rPr>
          <w:rFonts w:hint="default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年期间</w:t>
      </w:r>
      <w:r>
        <w:rPr>
          <w:rFonts w:hint="eastAsia" w:ascii="仿宋_GB2312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建成</w:t>
      </w:r>
      <w:r>
        <w:rPr>
          <w:rFonts w:hint="default" w:ascii="仿宋_GB2312" w:hAnsi="Calibri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并网</w:t>
      </w:r>
      <w:r>
        <w:rPr>
          <w:rFonts w:hint="eastAsia" w:ascii="仿宋_GB2312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的，且年光伏利用小时数超过900小时（由国网供电公司在并网满一年后出具相关证明文件）的光伏项目进行奖补。其中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上城、拱墅、西湖、滨江、钱塘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按 0.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元/瓦标准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其他地区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按 0.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元/瓦标准给予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投资主体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一次性建设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奖励。</w:t>
      </w:r>
      <w:r>
        <w:rPr>
          <w:rFonts w:hint="eastAsia" w:ascii="仿宋_GB2312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奖补资金由市级财政根据各地光伏并网容量按年度划拨，各区、县（市）能源主管部门会同本级财政部门对拟享受奖补的项目进行汇总、核算并发放资金。具体细则由市发改委会同市财政局另行制定。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（六）继续给予节能政策支持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cyan"/>
          <w:lang w:val="en-US" w:eastAsia="zh-CN" w:bidi="ar"/>
        </w:rPr>
      </w:pPr>
      <w:r>
        <w:rPr>
          <w:rFonts w:hint="eastAsia" w:ascii="仿宋_GB2312" w:eastAsia="仿宋_GB2312" w:cs="Times New Roman"/>
          <w:color w:val="000000"/>
          <w:spacing w:val="-4"/>
          <w:kern w:val="2"/>
          <w:sz w:val="32"/>
          <w:szCs w:val="32"/>
          <w:lang w:val="en-US" w:eastAsia="zh-CN" w:bidi="ar-SA"/>
        </w:rPr>
        <w:t>对建设分布式光伏发电项目的企业，在执行有序用电计划时根据其发电规模予以优先支持，在核算电价时其自发自用电量不计入阶梯电价适用范围；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新增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光伏发电</w:t>
      </w:r>
      <w:r>
        <w:rPr>
          <w:rFonts w:hint="eastAsia" w:ascii="仿宋_GB2312" w:eastAsia="仿宋_GB2312"/>
          <w:spacing w:val="-4"/>
          <w:sz w:val="32"/>
          <w:szCs w:val="32"/>
        </w:rPr>
        <w:t>“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十四五</w:t>
      </w:r>
      <w:r>
        <w:rPr>
          <w:rFonts w:hint="eastAsia" w:ascii="仿宋_GB2312" w:eastAsia="仿宋_GB2312"/>
          <w:spacing w:val="-4"/>
          <w:sz w:val="32"/>
          <w:szCs w:val="32"/>
        </w:rPr>
        <w:t>”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期间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不纳入各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区、县（市）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能源消费总量</w:t>
      </w:r>
      <w:r>
        <w:rPr>
          <w:rFonts w:hint="eastAsia" w:ascii="仿宋_GB2312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考核</w:t>
      </w:r>
      <w:r>
        <w:rPr>
          <w:rFonts w:hint="eastAsia" w:ascii="仿宋_GB2312" w:hAnsi="Times New Roman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，可抵扣企业新上项目用能指标；</w:t>
      </w:r>
      <w:r>
        <w:rPr>
          <w:rFonts w:hint="eastAsia" w:ascii="仿宋_GB2312" w:eastAsia="仿宋_GB2312"/>
          <w:spacing w:val="-4"/>
          <w:sz w:val="32"/>
          <w:szCs w:val="32"/>
        </w:rPr>
        <w:t>在评选“绿色企业”时给予支持。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Toc19955"/>
      <w:bookmarkStart w:id="3" w:name="_Toc1920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四、保障措施</w:t>
      </w:r>
      <w:bookmarkEnd w:id="2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left="0" w:firstLine="640" w:firstLineChars="200"/>
        <w:jc w:val="both"/>
        <w:rPr>
          <w:rFonts w:hint="eastAsia" w:ascii="仿宋_GB2312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（一）加强组织领导。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成立由市政府分管领导任组长，</w:t>
      </w:r>
      <w:r>
        <w:rPr>
          <w:rFonts w:hint="eastAsia" w:ascii="仿宋_GB2312" w:eastAsia="仿宋_GB2312"/>
          <w:spacing w:val="-4"/>
          <w:sz w:val="32"/>
          <w:szCs w:val="32"/>
        </w:rPr>
        <w:t>市直相关部门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pacing w:val="-4"/>
          <w:sz w:val="32"/>
          <w:szCs w:val="32"/>
        </w:rPr>
        <w:t>各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区、县</w:t>
      </w:r>
      <w:r>
        <w:rPr>
          <w:rFonts w:hint="eastAsia" w:ascii="仿宋_GB2312" w:eastAsia="仿宋_GB2312"/>
          <w:spacing w:val="-4"/>
          <w:sz w:val="32"/>
          <w:szCs w:val="32"/>
        </w:rPr>
        <w:t>（市）政府、管委会等单位主要负责人为成员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的新能源开发工作领导小组，</w:t>
      </w:r>
      <w:r>
        <w:rPr>
          <w:rFonts w:hint="eastAsia" w:ascii="仿宋_GB2312" w:eastAsia="仿宋_GB2312"/>
          <w:spacing w:val="-4"/>
          <w:sz w:val="32"/>
          <w:szCs w:val="32"/>
        </w:rPr>
        <w:t>统筹指导全市光伏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产业发展</w:t>
      </w:r>
      <w:r>
        <w:rPr>
          <w:rFonts w:hint="eastAsia" w:ascii="仿宋_GB2312" w:eastAsia="仿宋_GB2312"/>
          <w:spacing w:val="-4"/>
          <w:sz w:val="32"/>
          <w:szCs w:val="32"/>
        </w:rPr>
        <w:t>。领导小组下设工作专班，专班设在市发改委，负责领导小组日常工</w:t>
      </w:r>
      <w:r>
        <w:rPr>
          <w:rFonts w:hint="eastAsia" w:ascii="仿宋_GB2312" w:eastAsia="仿宋_GB2312" w:cs="Times New Roman"/>
          <w:spacing w:val="-4"/>
          <w:sz w:val="32"/>
          <w:szCs w:val="32"/>
        </w:rPr>
        <w:t>作</w:t>
      </w:r>
      <w:r>
        <w:rPr>
          <w:rFonts w:hint="eastAsia" w:ascii="仿宋_GB2312" w:eastAsia="仿宋_GB2312" w:cs="Times New Roman"/>
          <w:spacing w:val="-4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left="0" w:firstLine="608" w:firstLineChars="200"/>
        <w:jc w:val="both"/>
        <w:rPr>
          <w:rFonts w:hint="eastAsia" w:ascii="仿宋_GB2312" w:eastAsia="仿宋_GB2312" w:cs="Times New Roman"/>
          <w:spacing w:val="-4"/>
          <w:w w:val="95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w w:val="95"/>
          <w:kern w:val="0"/>
          <w:sz w:val="32"/>
          <w:szCs w:val="32"/>
          <w:lang w:val="en-US" w:eastAsia="zh-CN" w:bidi="ar"/>
        </w:rPr>
        <w:t>（二）强化考核评估。</w:t>
      </w:r>
      <w:r>
        <w:rPr>
          <w:rFonts w:hint="eastAsia" w:ascii="仿宋_GB2312" w:eastAsia="仿宋_GB2312"/>
          <w:spacing w:val="-4"/>
          <w:w w:val="95"/>
          <w:sz w:val="32"/>
          <w:szCs w:val="32"/>
        </w:rPr>
        <w:t>市级各部门要按照碳达峰碳中和的目标要求，摸清基数，科学评估安装可行性，制定</w:t>
      </w:r>
      <w:r>
        <w:rPr>
          <w:rFonts w:hint="eastAsia" w:ascii="仿宋_GB2312" w:eastAsia="仿宋_GB2312"/>
          <w:spacing w:val="-4"/>
          <w:w w:val="95"/>
          <w:sz w:val="32"/>
          <w:szCs w:val="32"/>
          <w:lang w:eastAsia="zh-CN"/>
        </w:rPr>
        <w:t>各条线</w:t>
      </w:r>
      <w:r>
        <w:rPr>
          <w:rFonts w:hint="eastAsia" w:ascii="仿宋_GB2312" w:eastAsia="仿宋_GB2312"/>
          <w:spacing w:val="-4"/>
          <w:w w:val="95"/>
          <w:sz w:val="32"/>
          <w:szCs w:val="32"/>
        </w:rPr>
        <w:t>促进光伏发展</w:t>
      </w:r>
      <w:r>
        <w:rPr>
          <w:rFonts w:hint="eastAsia" w:ascii="仿宋_GB2312" w:eastAsia="仿宋_GB2312"/>
          <w:spacing w:val="-4"/>
          <w:w w:val="95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pacing w:val="-4"/>
          <w:w w:val="95"/>
          <w:sz w:val="32"/>
          <w:szCs w:val="32"/>
        </w:rPr>
        <w:t>细化方案，明确推广计划，压实工作责任。各</w:t>
      </w:r>
      <w:r>
        <w:rPr>
          <w:rFonts w:hint="eastAsia" w:ascii="仿宋_GB2312" w:eastAsia="仿宋_GB2312"/>
          <w:spacing w:val="-4"/>
          <w:w w:val="95"/>
          <w:sz w:val="32"/>
          <w:szCs w:val="32"/>
          <w:lang w:eastAsia="zh-CN"/>
        </w:rPr>
        <w:t>区、县</w:t>
      </w:r>
      <w:r>
        <w:rPr>
          <w:rFonts w:hint="eastAsia" w:ascii="仿宋_GB2312" w:eastAsia="仿宋_GB2312"/>
          <w:spacing w:val="-4"/>
          <w:w w:val="95"/>
          <w:sz w:val="32"/>
          <w:szCs w:val="32"/>
        </w:rPr>
        <w:t>（市）、开发区（园区）要将光伏发展作为能源转型工作的重点，制定“十四五”光伏发展实施方案和年度光伏发展目标，落实开发任务。建立考核评价和定期通报制度，将光伏发展纳入</w:t>
      </w:r>
      <w:r>
        <w:rPr>
          <w:rFonts w:hint="eastAsia" w:ascii="仿宋_GB2312" w:eastAsia="仿宋_GB2312"/>
          <w:spacing w:val="-4"/>
          <w:w w:val="95"/>
          <w:sz w:val="32"/>
          <w:szCs w:val="32"/>
          <w:lang w:eastAsia="zh-CN"/>
        </w:rPr>
        <w:t>区、县</w:t>
      </w:r>
      <w:r>
        <w:rPr>
          <w:rFonts w:hint="eastAsia" w:ascii="仿宋_GB2312" w:eastAsia="仿宋_GB2312"/>
          <w:spacing w:val="-4"/>
          <w:w w:val="95"/>
          <w:sz w:val="32"/>
          <w:szCs w:val="32"/>
        </w:rPr>
        <w:t>（市）</w:t>
      </w:r>
      <w:r>
        <w:rPr>
          <w:rFonts w:hint="eastAsia" w:ascii="仿宋_GB2312" w:eastAsia="仿宋_GB2312"/>
          <w:spacing w:val="-4"/>
          <w:w w:val="95"/>
          <w:sz w:val="32"/>
          <w:szCs w:val="32"/>
          <w:lang w:eastAsia="zh-CN"/>
        </w:rPr>
        <w:t>、市直单位能源双控考核</w:t>
      </w:r>
      <w:r>
        <w:rPr>
          <w:rFonts w:hint="eastAsia" w:ascii="仿宋_GB2312" w:eastAsia="仿宋_GB2312" w:cs="Times New Roman"/>
          <w:spacing w:val="-4"/>
          <w:w w:val="95"/>
          <w:sz w:val="32"/>
          <w:szCs w:val="32"/>
        </w:rPr>
        <w:t>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line="580" w:lineRule="exact"/>
        <w:ind w:left="0" w:firstLine="640"/>
        <w:contextualSpacing/>
        <w:jc w:val="both"/>
        <w:textAlignment w:val="auto"/>
        <w:rPr>
          <w:rFonts w:hint="eastAsia" w:ascii="仿宋_GB2312" w:hAnsi="Times New Roman" w:eastAsia="仿宋_GB2312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（三）严控质量及安全管理。</w:t>
      </w:r>
      <w:r>
        <w:rPr>
          <w:rFonts w:hint="eastAsia" w:ascii="仿宋_GB2312" w:eastAsia="仿宋_GB2312"/>
          <w:spacing w:val="-4"/>
          <w:sz w:val="32"/>
          <w:szCs w:val="32"/>
        </w:rPr>
        <w:t>光伏选用设备必须是经过批准的认证机构认证且达标的产品，建设安装必须符合有关安全规范要求。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各地各部门要</w:t>
      </w:r>
      <w:r>
        <w:rPr>
          <w:rFonts w:hint="eastAsia" w:ascii="仿宋_GB2312" w:eastAsia="仿宋_GB2312"/>
          <w:spacing w:val="-4"/>
          <w:sz w:val="32"/>
          <w:szCs w:val="32"/>
        </w:rPr>
        <w:t>高度重视光伏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pacing w:val="-4"/>
          <w:sz w:val="32"/>
          <w:szCs w:val="32"/>
        </w:rPr>
        <w:t>建设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pacing w:val="-4"/>
          <w:sz w:val="32"/>
          <w:szCs w:val="32"/>
        </w:rPr>
        <w:t>安全</w:t>
      </w:r>
      <w:r>
        <w:rPr>
          <w:rFonts w:hint="eastAsia" w:ascii="仿宋_GB2312" w:eastAsia="仿宋_GB2312"/>
          <w:spacing w:val="-4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pacing w:val="-4"/>
          <w:sz w:val="32"/>
          <w:szCs w:val="32"/>
        </w:rPr>
        <w:t>，落实安全监管责任，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</w:rPr>
        <w:t>严守安全底线。建立光伏开发建设及运营商准入机制，保障光伏市场健康发展，防止恶性不良竞争</w:t>
      </w:r>
      <w:r>
        <w:rPr>
          <w:rFonts w:hint="eastAsia" w:ascii="仿宋_GB2312" w:eastAsia="仿宋_GB2312" w:cs="Times New Roman"/>
          <w:spacing w:val="-4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val="en-US" w:eastAsia="zh-CN"/>
        </w:rPr>
        <w:t>定期组织安全和质量抽查，定期公布光伏开发建设企业红黑名单，提高全市光伏建设开发水平。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（四）加大宣传引导。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充分利用报纸、电视、网络等媒介载体，全方位、多角度、立体式开展光伏建设的主题宣传，营造浓厚的社会氛围，激发各类社会主体投资光伏发电的积极性，引导广大城乡居民和企事业单位积极投入光伏建设。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（五）创新融资服务。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利用政府产业基金支持光伏产业发展。引导金融机构运用光伏行业标准规范和认证，加大对光伏应用的绿色信贷支持。鼓励金融机构加强与光伏产业链相关单位、光伏开发商合作，加大光伏发电项目建设支持力度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D56FB"/>
    <w:multiLevelType w:val="multilevel"/>
    <w:tmpl w:val="A5FD5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CBFD2BDF"/>
    <w:multiLevelType w:val="singleLevel"/>
    <w:tmpl w:val="CBFD2BD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DE9CBF84"/>
    <w:multiLevelType w:val="singleLevel"/>
    <w:tmpl w:val="DE9CBF8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EF1CB8"/>
    <w:multiLevelType w:val="singleLevel"/>
    <w:tmpl w:val="FFEF1CB8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00000001"/>
    <w:multiLevelType w:val="multilevel"/>
    <w:tmpl w:val="00000001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1" w:tentative="0">
      <w:start w:val="1"/>
      <w:numFmt w:val="decimal"/>
      <w:pStyle w:val="1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doNotUseMarginsForDrawingGridOrigin w:val="true"/>
  <w:drawingGridHorizontalOrigin w:val="1800"/>
  <w:drawingGridVerticalOrigin w:val="1440"/>
  <w:noPunctuationKerning w:val="true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96"/>
    <w:rsid w:val="00083C4E"/>
    <w:rsid w:val="00084CE9"/>
    <w:rsid w:val="0008545A"/>
    <w:rsid w:val="000A59AB"/>
    <w:rsid w:val="000C6018"/>
    <w:rsid w:val="001C0596"/>
    <w:rsid w:val="001E1818"/>
    <w:rsid w:val="002046C7"/>
    <w:rsid w:val="00264EA2"/>
    <w:rsid w:val="002674F7"/>
    <w:rsid w:val="003D5159"/>
    <w:rsid w:val="005F6AF6"/>
    <w:rsid w:val="0067559E"/>
    <w:rsid w:val="007914D4"/>
    <w:rsid w:val="008A1297"/>
    <w:rsid w:val="008B1493"/>
    <w:rsid w:val="00940F57"/>
    <w:rsid w:val="00956414"/>
    <w:rsid w:val="00A031F6"/>
    <w:rsid w:val="00A6682E"/>
    <w:rsid w:val="00A90E98"/>
    <w:rsid w:val="00AF0A05"/>
    <w:rsid w:val="00C02C64"/>
    <w:rsid w:val="00CD2563"/>
    <w:rsid w:val="00D17897"/>
    <w:rsid w:val="00D97F6C"/>
    <w:rsid w:val="00DD3282"/>
    <w:rsid w:val="00E4086C"/>
    <w:rsid w:val="00F25A78"/>
    <w:rsid w:val="00F71D8B"/>
    <w:rsid w:val="36DE3229"/>
    <w:rsid w:val="3E5803B2"/>
    <w:rsid w:val="3EFFB9BA"/>
    <w:rsid w:val="4CAE1053"/>
    <w:rsid w:val="557B7A07"/>
    <w:rsid w:val="5F965424"/>
    <w:rsid w:val="763DD235"/>
    <w:rsid w:val="7BAB606D"/>
    <w:rsid w:val="7D7AB67E"/>
    <w:rsid w:val="7DFB166E"/>
    <w:rsid w:val="7DFDADAA"/>
    <w:rsid w:val="7E5F4E67"/>
    <w:rsid w:val="7FF9F24E"/>
    <w:rsid w:val="7FFD51C1"/>
    <w:rsid w:val="7FFEE32B"/>
    <w:rsid w:val="A6690E86"/>
    <w:rsid w:val="B5F76FB7"/>
    <w:rsid w:val="BAEFA19B"/>
    <w:rsid w:val="BFFF616B"/>
    <w:rsid w:val="DE736B31"/>
    <w:rsid w:val="E7FD4F76"/>
    <w:rsid w:val="EFD6CE4B"/>
    <w:rsid w:val="F0BA2001"/>
    <w:rsid w:val="FB3568DE"/>
    <w:rsid w:val="FD2B1F83"/>
    <w:rsid w:val="FDEF8F5F"/>
    <w:rsid w:val="FF58847E"/>
    <w:rsid w:val="FF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semiHidden/>
    <w:qFormat/>
    <w:uiPriority w:val="0"/>
  </w:style>
  <w:style w:type="table" w:customStyle="1" w:styleId="10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3">
    <w:name w:val="二级条标题"/>
    <w:basedOn w:val="14"/>
    <w:next w:val="15"/>
    <w:qFormat/>
    <w:uiPriority w:val="0"/>
    <w:pPr>
      <w:numPr>
        <w:ilvl w:val="2"/>
        <w:numId w:val="1"/>
      </w:numPr>
      <w:spacing w:before="50" w:after="50"/>
      <w:outlineLvl w:val="3"/>
    </w:pPr>
    <w:rPr>
      <w:rFonts w:ascii="Times New Roman" w:hAnsi="Times New Roman" w:eastAsia="宋体" w:cs="Times New Roman"/>
    </w:rPr>
  </w:style>
  <w:style w:type="paragraph" w:customStyle="1" w:styleId="14">
    <w:name w:val="一级条标题"/>
    <w:next w:val="15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425</Characters>
  <Lines>3</Lines>
  <Paragraphs>1</Paragraphs>
  <TotalTime>155</TotalTime>
  <ScaleCrop>false</ScaleCrop>
  <LinksUpToDate>false</LinksUpToDate>
  <CharactersWithSpaces>498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2021-07-05T23:02:00Z</dcterms:created>
  <dc:creator>zjb</dc:creator>
  <cp:lastModifiedBy>user</cp:lastModifiedBy>
  <cp:lastPrinted>2022-03-31T01:23:00Z</cp:lastPrinted>
  <dcterms:modified xsi:type="dcterms:W3CDTF">2022-03-30T12:47:32Z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