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60" w:lineRule="exact"/>
        <w:ind w:left="0" w:leftChars="0" w:right="346"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pPr>
        <w:pStyle w:val="2"/>
        <w:widowControl w:val="0"/>
        <w:wordWrap/>
        <w:adjustRightInd w:val="0"/>
        <w:snapToGrid w:val="0"/>
        <w:jc w:val="center"/>
        <w:textAlignment w:val="auto"/>
        <w:outlineLvl w:val="9"/>
        <w:rPr>
          <w:rFonts w:hint="eastAsia" w:ascii="仿宋" w:hAnsi="仿宋" w:eastAsia="仿宋" w:cs="仿宋"/>
          <w:sz w:val="28"/>
          <w:szCs w:val="36"/>
          <w:lang w:val="en-US" w:eastAsia="zh-CN"/>
        </w:rPr>
      </w:pPr>
      <w:bookmarkStart w:id="0" w:name="_GoBack"/>
      <w:r>
        <w:rPr>
          <w:rFonts w:hint="eastAsia" w:ascii="方正小标宋_GBK" w:hAnsi="方正小标宋_GBK" w:eastAsia="方正小标宋_GBK" w:cs="方正小标宋_GBK"/>
          <w:sz w:val="32"/>
          <w:szCs w:val="40"/>
          <w:lang w:val="en-US" w:eastAsia="zh-CN"/>
        </w:rPr>
        <w:t>2021年度电力源网荷储一体化和多能互补试点项目公示表</w:t>
      </w:r>
      <w:bookmarkEnd w:id="0"/>
    </w:p>
    <w:tbl>
      <w:tblPr>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5"/>
        <w:gridCol w:w="2957"/>
        <w:gridCol w:w="800"/>
        <w:gridCol w:w="864"/>
        <w:gridCol w:w="3500"/>
        <w:gridCol w:w="1145"/>
        <w:gridCol w:w="4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blHeader/>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rPr>
              <w:t>序号</w:t>
            </w:r>
          </w:p>
        </w:tc>
        <w:tc>
          <w:tcPr>
            <w:tcW w:w="2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rPr>
              <w:t>项目名称</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rPr>
              <w:t>市</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rPr>
              <w:t>县（区）</w:t>
            </w:r>
          </w:p>
        </w:tc>
        <w:tc>
          <w:tcPr>
            <w:tcW w:w="3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rPr>
              <w:t>申报单位</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rPr>
              <w:t>项目类型</w:t>
            </w:r>
          </w:p>
        </w:tc>
        <w:tc>
          <w:tcPr>
            <w:tcW w:w="4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b/>
                <w:i w:val="0"/>
                <w:color w:val="auto"/>
                <w:sz w:val="24"/>
                <w:szCs w:val="24"/>
                <w:u w:val="none"/>
              </w:rPr>
            </w:pPr>
            <w:r>
              <w:rPr>
                <w:rFonts w:hint="eastAsia" w:ascii="仿宋" w:hAnsi="仿宋" w:eastAsia="仿宋" w:cs="仿宋"/>
                <w:b/>
                <w:i w:val="0"/>
                <w:color w:val="auto"/>
                <w:sz w:val="24"/>
                <w:szCs w:val="24"/>
                <w:u w:val="none"/>
              </w:rPr>
              <w:t>源网荷储型式及规模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1</w:t>
            </w:r>
          </w:p>
        </w:tc>
        <w:tc>
          <w:tcPr>
            <w:tcW w:w="2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雄安新区王家寨绿色智能微电网示范工程项目</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雄安</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安新</w:t>
            </w:r>
          </w:p>
        </w:tc>
        <w:tc>
          <w:tcPr>
            <w:tcW w:w="3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国网雄安新区供电公司</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源网荷储</w:t>
            </w:r>
          </w:p>
        </w:tc>
        <w:tc>
          <w:tcPr>
            <w:tcW w:w="4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sz w:val="21"/>
                <w:szCs w:val="21"/>
                <w:u w:val="none"/>
              </w:rPr>
            </w:pPr>
            <w:r>
              <w:rPr>
                <w:rFonts w:hint="eastAsia" w:ascii="仿宋" w:hAnsi="仿宋" w:eastAsia="仿宋" w:cs="仿宋"/>
                <w:b w:val="0"/>
                <w:bCs w:val="0"/>
                <w:i w:val="0"/>
                <w:color w:val="auto"/>
                <w:kern w:val="0"/>
                <w:sz w:val="21"/>
                <w:szCs w:val="21"/>
                <w:u w:val="none"/>
                <w:lang w:val="en-US" w:eastAsia="zh-CN"/>
              </w:rPr>
              <w:t>光伏312kW+风电4kW+储能2600kW/3300kWh+负荷1.5MW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2</w:t>
            </w:r>
          </w:p>
        </w:tc>
        <w:tc>
          <w:tcPr>
            <w:tcW w:w="2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隆化县200MW源网荷储一体化示范项目</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承德</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隆化</w:t>
            </w:r>
          </w:p>
        </w:tc>
        <w:tc>
          <w:tcPr>
            <w:tcW w:w="3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特变电工新疆新能源股份有限公司</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源网荷储</w:t>
            </w:r>
          </w:p>
        </w:tc>
        <w:tc>
          <w:tcPr>
            <w:tcW w:w="4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b w:val="0"/>
                <w:bCs w:val="0"/>
                <w:i w:val="0"/>
                <w:color w:val="auto"/>
                <w:kern w:val="0"/>
                <w:sz w:val="21"/>
                <w:szCs w:val="21"/>
                <w:u w:val="none"/>
                <w:lang w:val="en-US" w:eastAsia="zh-CN"/>
              </w:rPr>
            </w:pPr>
            <w:r>
              <w:rPr>
                <w:rFonts w:hint="eastAsia" w:ascii="仿宋" w:hAnsi="仿宋" w:eastAsia="仿宋" w:cs="仿宋"/>
                <w:i w:val="0"/>
                <w:color w:val="auto"/>
                <w:kern w:val="0"/>
                <w:sz w:val="21"/>
                <w:szCs w:val="21"/>
                <w:highlight w:val="none"/>
                <w:u w:val="none"/>
                <w:lang w:val="en-US" w:eastAsia="zh-CN"/>
              </w:rPr>
              <w:t>风电100MW+光伏100MW+储能40MW/80MWh+矿业负荷68MW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3</w:t>
            </w:r>
          </w:p>
        </w:tc>
        <w:tc>
          <w:tcPr>
            <w:tcW w:w="2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both"/>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丰宁县“源网荷储”一体化示范项目</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承德</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丰宁</w:t>
            </w:r>
          </w:p>
        </w:tc>
        <w:tc>
          <w:tcPr>
            <w:tcW w:w="3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天宏阳光新能源股份有限公司</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源网荷储</w:t>
            </w:r>
          </w:p>
        </w:tc>
        <w:tc>
          <w:tcPr>
            <w:tcW w:w="4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b w:val="0"/>
                <w:bCs w:val="0"/>
                <w:i w:val="0"/>
                <w:color w:val="auto"/>
                <w:kern w:val="0"/>
                <w:sz w:val="21"/>
                <w:szCs w:val="21"/>
                <w:u w:val="none"/>
                <w:lang w:val="en-US" w:eastAsia="zh-CN"/>
              </w:rPr>
            </w:pPr>
            <w:r>
              <w:rPr>
                <w:rFonts w:hint="eastAsia" w:ascii="仿宋" w:hAnsi="仿宋" w:eastAsia="仿宋" w:cs="仿宋"/>
                <w:i w:val="0"/>
                <w:color w:val="auto"/>
                <w:kern w:val="0"/>
                <w:sz w:val="21"/>
                <w:szCs w:val="21"/>
                <w:highlight w:val="none"/>
                <w:u w:val="none"/>
                <w:lang w:val="en-US" w:eastAsia="zh-CN"/>
              </w:rPr>
              <w:t>风电280MW+光伏90MW+储能80MW</w:t>
            </w:r>
            <w:r>
              <w:rPr>
                <w:rFonts w:hint="eastAsia" w:ascii="仿宋" w:hAnsi="仿宋" w:eastAsia="仿宋" w:cs="仿宋"/>
                <w:b w:val="0"/>
                <w:bCs w:val="0"/>
                <w:i w:val="0"/>
                <w:color w:val="auto"/>
                <w:kern w:val="0"/>
                <w:sz w:val="21"/>
                <w:szCs w:val="21"/>
                <w:u w:val="none"/>
                <w:lang w:val="en-US" w:eastAsia="zh-CN"/>
              </w:rPr>
              <w:t>/160MWh</w:t>
            </w:r>
            <w:r>
              <w:rPr>
                <w:rFonts w:hint="eastAsia" w:ascii="仿宋" w:hAnsi="仿宋" w:eastAsia="仿宋" w:cs="仿宋"/>
                <w:i w:val="0"/>
                <w:color w:val="auto"/>
                <w:kern w:val="0"/>
                <w:sz w:val="21"/>
                <w:szCs w:val="21"/>
                <w:highlight w:val="none"/>
                <w:u w:val="none"/>
                <w:lang w:val="en-US" w:eastAsia="zh-CN"/>
              </w:rPr>
              <w:t>+大数据中心负荷60MW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4</w:t>
            </w:r>
          </w:p>
        </w:tc>
        <w:tc>
          <w:tcPr>
            <w:tcW w:w="2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蔚县源网荷储一体化示范项目</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张家口</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蔚县</w:t>
            </w:r>
          </w:p>
        </w:tc>
        <w:tc>
          <w:tcPr>
            <w:tcW w:w="3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北京天润新能投资有限公司、河北研效新能源科技有限责任公司</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源网荷储</w:t>
            </w:r>
          </w:p>
        </w:tc>
        <w:tc>
          <w:tcPr>
            <w:tcW w:w="4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b w:val="0"/>
                <w:bCs w:val="0"/>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风电250MW+光伏750MW+储能200MW/200MWh+大数据中心负荷344MW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5</w:t>
            </w:r>
          </w:p>
        </w:tc>
        <w:tc>
          <w:tcPr>
            <w:tcW w:w="2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承德县网源荷储一体化和多能互补示范项目</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承德</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承德</w:t>
            </w:r>
          </w:p>
        </w:tc>
        <w:tc>
          <w:tcPr>
            <w:tcW w:w="3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承德卓云信息科技有限公司</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源网荷储</w:t>
            </w:r>
          </w:p>
        </w:tc>
        <w:tc>
          <w:tcPr>
            <w:tcW w:w="4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b w:val="0"/>
                <w:bCs w:val="0"/>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风电20MW+光伏400MW+储能84MW</w:t>
            </w:r>
            <w:r>
              <w:rPr>
                <w:rFonts w:hint="eastAsia" w:ascii="仿宋" w:hAnsi="仿宋" w:eastAsia="仿宋" w:cs="仿宋"/>
                <w:b w:val="0"/>
                <w:bCs w:val="0"/>
                <w:i w:val="0"/>
                <w:color w:val="auto"/>
                <w:kern w:val="0"/>
                <w:sz w:val="21"/>
                <w:szCs w:val="21"/>
                <w:u w:val="none"/>
                <w:lang w:val="en-US" w:eastAsia="zh-CN"/>
              </w:rPr>
              <w:t>/168MWh</w:t>
            </w:r>
            <w:r>
              <w:rPr>
                <w:rFonts w:hint="eastAsia" w:ascii="仿宋" w:hAnsi="仿宋" w:eastAsia="仿宋" w:cs="仿宋"/>
                <w:i w:val="0"/>
                <w:color w:val="auto"/>
                <w:kern w:val="0"/>
                <w:sz w:val="21"/>
                <w:szCs w:val="21"/>
                <w:u w:val="none"/>
                <w:lang w:val="en-US" w:eastAsia="zh-CN"/>
              </w:rPr>
              <w:t>+大数据中心负荷200MW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6</w:t>
            </w:r>
          </w:p>
        </w:tc>
        <w:tc>
          <w:tcPr>
            <w:tcW w:w="2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钒钛新材料产业园150MW源网荷储一体化示范项目</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承德</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双滦区</w:t>
            </w:r>
          </w:p>
        </w:tc>
        <w:tc>
          <w:tcPr>
            <w:tcW w:w="3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河北建昊光伏科技有限公司</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源网荷储</w:t>
            </w:r>
          </w:p>
        </w:tc>
        <w:tc>
          <w:tcPr>
            <w:tcW w:w="4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光伏150MW+储能30MW/60MWh+钢铁负荷50MW+制氢4000Nm</w:t>
            </w:r>
            <w:r>
              <w:rPr>
                <w:rStyle w:val="12"/>
                <w:rFonts w:hint="eastAsia" w:ascii="仿宋" w:hAnsi="仿宋" w:eastAsia="仿宋" w:cs="仿宋"/>
                <w:color w:val="auto"/>
                <w:sz w:val="21"/>
                <w:szCs w:val="21"/>
                <w:lang w:val="en-US" w:eastAsia="zh-CN"/>
              </w:rPr>
              <w:t>3</w:t>
            </w:r>
            <w:r>
              <w:rPr>
                <w:rFonts w:hint="eastAsia" w:ascii="仿宋" w:hAnsi="仿宋" w:eastAsia="仿宋" w:cs="仿宋"/>
                <w:i w:val="0"/>
                <w:color w:val="auto"/>
                <w:kern w:val="0"/>
                <w:sz w:val="21"/>
                <w:szCs w:val="21"/>
                <w:u w:val="none"/>
                <w:lang w:val="en-US" w:eastAsia="zh-CN"/>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7</w:t>
            </w:r>
          </w:p>
        </w:tc>
        <w:tc>
          <w:tcPr>
            <w:tcW w:w="2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华润电力沧州光火储氢一体化多能互补示范项目</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沧州</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沧县</w:t>
            </w:r>
          </w:p>
        </w:tc>
        <w:tc>
          <w:tcPr>
            <w:tcW w:w="3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华润电力新能源投资有限公司</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多能互补</w:t>
            </w:r>
          </w:p>
        </w:tc>
        <w:tc>
          <w:tcPr>
            <w:tcW w:w="4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sz w:val="21"/>
                <w:szCs w:val="21"/>
                <w:u w:val="none"/>
              </w:rPr>
            </w:pPr>
            <w:r>
              <w:rPr>
                <w:rFonts w:hint="eastAsia" w:ascii="仿宋" w:hAnsi="仿宋" w:eastAsia="仿宋" w:cs="仿宋"/>
                <w:b w:val="0"/>
                <w:bCs w:val="0"/>
                <w:i w:val="0"/>
                <w:color w:val="auto"/>
                <w:kern w:val="0"/>
                <w:sz w:val="21"/>
                <w:szCs w:val="21"/>
                <w:u w:val="none"/>
                <w:lang w:val="en-US" w:eastAsia="zh-CN"/>
              </w:rPr>
              <w:t>光伏300MW+700MW火电灵活性改造+储能60MW/120MWh+制氢1000Nm</w:t>
            </w:r>
            <w:r>
              <w:rPr>
                <w:rStyle w:val="12"/>
                <w:rFonts w:hint="eastAsia" w:ascii="仿宋" w:hAnsi="仿宋" w:eastAsia="仿宋" w:cs="仿宋"/>
                <w:b w:val="0"/>
                <w:bCs w:val="0"/>
                <w:color w:val="auto"/>
                <w:sz w:val="21"/>
                <w:szCs w:val="21"/>
                <w:lang w:val="en-US" w:eastAsia="zh-CN"/>
              </w:rPr>
              <w:t>3</w:t>
            </w:r>
            <w:r>
              <w:rPr>
                <w:rFonts w:hint="eastAsia" w:ascii="仿宋" w:hAnsi="仿宋" w:eastAsia="仿宋" w:cs="仿宋"/>
                <w:b w:val="0"/>
                <w:bCs w:val="0"/>
                <w:i w:val="0"/>
                <w:color w:val="auto"/>
                <w:kern w:val="0"/>
                <w:sz w:val="21"/>
                <w:szCs w:val="21"/>
                <w:u w:val="none"/>
                <w:lang w:val="en-US" w:eastAsia="zh-CN"/>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8</w:t>
            </w:r>
          </w:p>
        </w:tc>
        <w:tc>
          <w:tcPr>
            <w:tcW w:w="2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国家电投丰宁绿能能源有限公司农牧光风水储多能互补智慧能源示范项目</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承德</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丰宁</w:t>
            </w:r>
          </w:p>
        </w:tc>
        <w:tc>
          <w:tcPr>
            <w:tcW w:w="3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国家电投丰宁绿能能源有限公司</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多能互补</w:t>
            </w:r>
          </w:p>
        </w:tc>
        <w:tc>
          <w:tcPr>
            <w:tcW w:w="4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sz w:val="21"/>
                <w:szCs w:val="21"/>
                <w:u w:val="none"/>
              </w:rPr>
            </w:pPr>
            <w:r>
              <w:rPr>
                <w:rFonts w:hint="eastAsia" w:ascii="仿宋" w:hAnsi="仿宋" w:eastAsia="仿宋" w:cs="仿宋"/>
                <w:b w:val="0"/>
                <w:bCs w:val="0"/>
                <w:i w:val="0"/>
                <w:color w:val="auto"/>
                <w:kern w:val="0"/>
                <w:sz w:val="21"/>
                <w:szCs w:val="21"/>
                <w:u w:val="none"/>
                <w:lang w:val="en-US" w:eastAsia="zh-CN"/>
              </w:rPr>
              <w:t>风电300MW+光伏500MW+抽蓄200MW+储能160MW/320MWh+制氢20000Nm</w:t>
            </w:r>
            <w:r>
              <w:rPr>
                <w:rStyle w:val="12"/>
                <w:rFonts w:hint="eastAsia" w:ascii="仿宋" w:hAnsi="仿宋" w:eastAsia="仿宋" w:cs="仿宋"/>
                <w:b w:val="0"/>
                <w:bCs w:val="0"/>
                <w:color w:val="auto"/>
                <w:sz w:val="21"/>
                <w:szCs w:val="21"/>
                <w:lang w:val="en-US" w:eastAsia="zh-CN"/>
              </w:rPr>
              <w:t>3</w:t>
            </w:r>
            <w:r>
              <w:rPr>
                <w:rFonts w:hint="eastAsia" w:ascii="仿宋" w:hAnsi="仿宋" w:eastAsia="仿宋" w:cs="仿宋"/>
                <w:b w:val="0"/>
                <w:bCs w:val="0"/>
                <w:i w:val="0"/>
                <w:color w:val="auto"/>
                <w:kern w:val="0"/>
                <w:sz w:val="21"/>
                <w:szCs w:val="21"/>
                <w:u w:val="none"/>
                <w:lang w:val="en-US" w:eastAsia="zh-CN"/>
              </w:rPr>
              <w:t>/h</w:t>
            </w:r>
            <w:r>
              <w:rPr>
                <w:rStyle w:val="11"/>
                <w:rFonts w:hint="eastAsia" w:ascii="仿宋" w:hAnsi="仿宋" w:eastAsia="仿宋" w:cs="仿宋"/>
                <w:b w:val="0"/>
                <w:bCs w:val="0"/>
                <w:color w:val="auto"/>
                <w:sz w:val="21"/>
                <w:szCs w:val="21"/>
                <w:lang w:val="en-US" w:eastAsia="zh-CN"/>
              </w:rPr>
              <w:t>+充换电站15MW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9</w:t>
            </w:r>
          </w:p>
        </w:tc>
        <w:tc>
          <w:tcPr>
            <w:tcW w:w="2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承德航天天启风光储氢一体化多能互补示范项目</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承德</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围场</w:t>
            </w:r>
          </w:p>
        </w:tc>
        <w:tc>
          <w:tcPr>
            <w:tcW w:w="3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北京天启鸿源新能源科技有限公司</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多能互补</w:t>
            </w:r>
          </w:p>
        </w:tc>
        <w:tc>
          <w:tcPr>
            <w:tcW w:w="4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highlight w:val="none"/>
                <w:u w:val="none"/>
                <w:lang w:val="en-US" w:eastAsia="zh-CN"/>
              </w:rPr>
              <w:t>风电300MW+光伏200MW+储能100MW</w:t>
            </w:r>
            <w:r>
              <w:rPr>
                <w:rFonts w:hint="eastAsia" w:ascii="仿宋" w:hAnsi="仿宋" w:eastAsia="仿宋" w:cs="仿宋"/>
                <w:b w:val="0"/>
                <w:bCs w:val="0"/>
                <w:i w:val="0"/>
                <w:color w:val="auto"/>
                <w:kern w:val="0"/>
                <w:sz w:val="21"/>
                <w:szCs w:val="21"/>
                <w:u w:val="none"/>
                <w:lang w:val="en-US" w:eastAsia="zh-CN"/>
              </w:rPr>
              <w:t>/200MWh</w:t>
            </w:r>
            <w:r>
              <w:rPr>
                <w:rFonts w:hint="eastAsia" w:ascii="仿宋" w:hAnsi="仿宋" w:eastAsia="仿宋" w:cs="仿宋"/>
                <w:i w:val="0"/>
                <w:color w:val="auto"/>
                <w:kern w:val="0"/>
                <w:sz w:val="21"/>
                <w:szCs w:val="21"/>
                <w:highlight w:val="none"/>
                <w:u w:val="none"/>
                <w:lang w:val="en-US" w:eastAsia="zh-CN"/>
              </w:rPr>
              <w:t>+制氢3000Nm</w:t>
            </w:r>
            <w:r>
              <w:rPr>
                <w:rStyle w:val="12"/>
                <w:rFonts w:hint="eastAsia" w:ascii="仿宋" w:hAnsi="仿宋" w:eastAsia="仿宋" w:cs="仿宋"/>
                <w:color w:val="auto"/>
                <w:sz w:val="21"/>
                <w:szCs w:val="21"/>
                <w:highlight w:val="none"/>
                <w:lang w:val="en-US" w:eastAsia="zh-CN"/>
              </w:rPr>
              <w:t>3</w:t>
            </w:r>
            <w:r>
              <w:rPr>
                <w:rFonts w:hint="eastAsia" w:ascii="仿宋" w:hAnsi="仿宋" w:eastAsia="仿宋" w:cs="仿宋"/>
                <w:i w:val="0"/>
                <w:color w:val="auto"/>
                <w:kern w:val="0"/>
                <w:sz w:val="21"/>
                <w:szCs w:val="21"/>
                <w:highlight w:val="none"/>
                <w:u w:val="none"/>
                <w:lang w:val="en-US" w:eastAsia="zh-CN"/>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rPr>
              <w:t>10</w:t>
            </w:r>
          </w:p>
        </w:tc>
        <w:tc>
          <w:tcPr>
            <w:tcW w:w="2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大城县多能互补新能源综合示范项目</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廊坊</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大城</w:t>
            </w:r>
          </w:p>
        </w:tc>
        <w:tc>
          <w:tcPr>
            <w:tcW w:w="3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国家电投集团大城县东方新能源发电有限公司</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rPr>
              <w:t>多能互补</w:t>
            </w:r>
          </w:p>
        </w:tc>
        <w:tc>
          <w:tcPr>
            <w:tcW w:w="4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highlight w:val="none"/>
                <w:u w:val="none"/>
                <w:lang w:val="en-US" w:eastAsia="zh-CN"/>
              </w:rPr>
              <w:t>风电100MW（存量）+光伏250MW+储能70MW</w:t>
            </w:r>
            <w:r>
              <w:rPr>
                <w:rFonts w:hint="eastAsia" w:ascii="仿宋" w:hAnsi="仿宋" w:eastAsia="仿宋" w:cs="仿宋"/>
                <w:b w:val="0"/>
                <w:bCs w:val="0"/>
                <w:i w:val="0"/>
                <w:color w:val="auto"/>
                <w:kern w:val="0"/>
                <w:sz w:val="21"/>
                <w:szCs w:val="21"/>
                <w:u w:val="none"/>
                <w:lang w:val="en-US" w:eastAsia="zh-CN"/>
              </w:rPr>
              <w:t>/140MWh</w:t>
            </w:r>
            <w:r>
              <w:rPr>
                <w:rFonts w:hint="eastAsia" w:ascii="仿宋" w:hAnsi="仿宋" w:eastAsia="仿宋" w:cs="仿宋"/>
                <w:i w:val="0"/>
                <w:color w:val="auto"/>
                <w:kern w:val="0"/>
                <w:sz w:val="21"/>
                <w:szCs w:val="21"/>
                <w:highlight w:val="none"/>
                <w:u w:val="none"/>
                <w:lang w:val="en-US" w:eastAsia="zh-CN"/>
              </w:rPr>
              <w:t>+制氢1000Nm</w:t>
            </w:r>
            <w:r>
              <w:rPr>
                <w:rStyle w:val="12"/>
                <w:rFonts w:hint="eastAsia" w:ascii="仿宋" w:hAnsi="仿宋" w:eastAsia="仿宋" w:cs="仿宋"/>
                <w:color w:val="auto"/>
                <w:sz w:val="21"/>
                <w:szCs w:val="21"/>
                <w:highlight w:val="none"/>
                <w:lang w:val="en-US" w:eastAsia="zh-CN"/>
              </w:rPr>
              <w:t>3</w:t>
            </w:r>
            <w:r>
              <w:rPr>
                <w:rFonts w:hint="eastAsia" w:ascii="仿宋" w:hAnsi="仿宋" w:eastAsia="仿宋" w:cs="仿宋"/>
                <w:i w:val="0"/>
                <w:color w:val="auto"/>
                <w:kern w:val="0"/>
                <w:sz w:val="21"/>
                <w:szCs w:val="21"/>
                <w:highlight w:val="none"/>
                <w:u w:val="none"/>
                <w:lang w:val="en-US" w:eastAsia="zh-CN"/>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11</w:t>
            </w:r>
          </w:p>
        </w:tc>
        <w:tc>
          <w:tcPr>
            <w:tcW w:w="2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丰宁启润1000MW多能互补集成优化示范项目</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承德</w:t>
            </w:r>
          </w:p>
        </w:tc>
        <w:tc>
          <w:tcPr>
            <w:tcW w:w="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丰宁</w:t>
            </w:r>
          </w:p>
        </w:tc>
        <w:tc>
          <w:tcPr>
            <w:tcW w:w="3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丰宁启润新能源开发有限公司</w:t>
            </w:r>
          </w:p>
        </w:tc>
        <w:tc>
          <w:tcPr>
            <w:tcW w:w="11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center"/>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多能互补</w:t>
            </w:r>
          </w:p>
        </w:tc>
        <w:tc>
          <w:tcPr>
            <w:tcW w:w="4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val="0"/>
              <w:snapToGrid w:val="0"/>
              <w:spacing w:line="240" w:lineRule="auto"/>
              <w:jc w:val="left"/>
              <w:textAlignment w:val="center"/>
              <w:outlineLvl w:val="9"/>
              <w:rPr>
                <w:rFonts w:hint="eastAsia" w:ascii="仿宋" w:hAnsi="仿宋" w:eastAsia="仿宋" w:cs="仿宋"/>
                <w:i w:val="0"/>
                <w:color w:val="auto"/>
                <w:kern w:val="0"/>
                <w:sz w:val="21"/>
                <w:szCs w:val="21"/>
                <w:u w:val="none"/>
                <w:lang w:val="en-US" w:eastAsia="zh-CN"/>
              </w:rPr>
            </w:pPr>
            <w:r>
              <w:rPr>
                <w:rFonts w:hint="eastAsia" w:ascii="仿宋" w:hAnsi="仿宋" w:eastAsia="仿宋" w:cs="仿宋"/>
                <w:i w:val="0"/>
                <w:color w:val="auto"/>
                <w:kern w:val="0"/>
                <w:sz w:val="21"/>
                <w:szCs w:val="21"/>
                <w:u w:val="none"/>
                <w:lang w:val="en-US" w:eastAsia="zh-CN"/>
              </w:rPr>
              <w:t>光伏1000MW+储能200MW/400MWh+制氢10000Nm</w:t>
            </w:r>
            <w:r>
              <w:rPr>
                <w:rStyle w:val="12"/>
                <w:rFonts w:hint="eastAsia" w:ascii="仿宋" w:hAnsi="仿宋" w:eastAsia="仿宋" w:cs="仿宋"/>
                <w:color w:val="auto"/>
                <w:sz w:val="21"/>
                <w:szCs w:val="21"/>
                <w:lang w:val="en-US" w:eastAsia="zh-CN"/>
              </w:rPr>
              <w:t>3</w:t>
            </w:r>
            <w:r>
              <w:rPr>
                <w:rFonts w:hint="eastAsia" w:ascii="仿宋" w:hAnsi="仿宋" w:eastAsia="仿宋" w:cs="仿宋"/>
                <w:i w:val="0"/>
                <w:color w:val="auto"/>
                <w:kern w:val="0"/>
                <w:sz w:val="21"/>
                <w:szCs w:val="21"/>
                <w:u w:val="none"/>
                <w:lang w:val="en-US" w:eastAsia="zh-CN"/>
              </w:rPr>
              <w:t>/h+10万平方米供暖</w:t>
            </w:r>
          </w:p>
        </w:tc>
      </w:tr>
    </w:tbl>
    <w:p>
      <w:pPr>
        <w:widowControl/>
        <w:wordWrap/>
        <w:autoSpaceDN w:val="0"/>
        <w:adjustRightInd/>
        <w:snapToGrid/>
        <w:spacing w:line="580" w:lineRule="exact"/>
        <w:jc w:val="left"/>
        <w:textAlignment w:val="auto"/>
        <w:outlineLvl w:val="9"/>
        <w:rPr>
          <w:rFonts w:hint="eastAsia" w:ascii="仿宋_GB2312" w:hAnsi="仿宋" w:eastAsia="仿宋_GB2312"/>
          <w:sz w:val="28"/>
          <w:szCs w:val="28"/>
          <w:lang w:val="en-US" w:eastAsia="zh-CN"/>
        </w:rPr>
      </w:pPr>
    </w:p>
    <w:sectPr>
      <w:footerReference r:id="rId4" w:type="default"/>
      <w:pgSz w:w="16838" w:h="11906" w:orient="landscape"/>
      <w:pgMar w:top="1179" w:right="1440" w:bottom="1066" w:left="1440" w:header="851"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altName w:val="微软雅黑"/>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书宋_GBK">
    <w:altName w:val="宋体"/>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E7006EFF" w:usb1="D200FDFF" w:usb2="0A246029" w:usb3="0400200C" w:csb0="600001FF" w:csb1="DFFF0000"/>
  </w:font>
  <w:font w:name="Nimbus Roman No9 L">
    <w:altName w:val="微软雅黑"/>
    <w:panose1 w:val="00000000000000000000"/>
    <w:charset w:val="00"/>
    <w:family w:val="auto"/>
    <w:pitch w:val="default"/>
    <w:sig w:usb0="00000000" w:usb1="00000000" w:usb2="00000000" w:usb3="00000000" w:csb0="00040001" w:csb1="00000000"/>
  </w:font>
  <w:font w:name="方正宋体S-超大字符集(SIP)">
    <w:altName w:val="宋体"/>
    <w:panose1 w:val="03000509000000000000"/>
    <w:charset w:val="86"/>
    <w:family w:val="auto"/>
    <w:pitch w:val="default"/>
    <w:sig w:usb0="00000003" w:usb1="0A0E0800" w:usb2="00000006" w:usb3="00000000" w:csb0="00040001" w:csb1="00000000"/>
  </w:font>
  <w:font w:name="汉仪中宋简">
    <w:altName w:val="宋体"/>
    <w:panose1 w:val="02010600000101010101"/>
    <w:charset w:val="86"/>
    <w:family w:val="auto"/>
    <w:pitch w:val="default"/>
    <w:sig w:usb0="00000001" w:usb1="080E0800" w:usb2="00000002"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00"/>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p>
    <w:pPr>
      <w:pStyle w:val="3"/>
    </w:pPr>
  </w:p>
  <w:p>
    <w:pPr>
      <w:pStyle w:val="3"/>
    </w:pPr>
    <w:r>
      <w:rPr>
        <w:rFonts w:ascii="Calibri" w:hAnsi="Calibri" w:eastAsia="宋体" w:cs="黑体"/>
        <w:kern w:val="2"/>
        <w:sz w:val="18"/>
        <w:szCs w:val="18"/>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rPr>
                    <w:rFonts w:hint="eastAsia"/>
                    <w:lang w:eastAsia="zh-CN"/>
                  </w:rPr>
                </w:pP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paragraph" w:styleId="2">
    <w:name w:val="Body Text"/>
    <w:basedOn w:val="1"/>
    <w:qFormat/>
    <w:uiPriority w:val="0"/>
    <w:rPr>
      <w:rFonts w:ascii="仿宋_GB2312" w:hAnsi="仿宋_GB2312" w:eastAsia="仿宋_GB2312" w:cs="仿宋_GB2312"/>
      <w:sz w:val="32"/>
      <w:szCs w:val="32"/>
      <w:lang w:val="zh-CN" w:eastAsia="zh-CN" w:bidi="zh-CN"/>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Title"/>
    <w:basedOn w:val="1"/>
    <w:next w:val="1"/>
    <w:qFormat/>
    <w:uiPriority w:val="0"/>
    <w:pPr>
      <w:ind w:firstLine="0" w:firstLineChars="0"/>
      <w:jc w:val="center"/>
      <w:outlineLvl w:val="0"/>
    </w:pPr>
    <w:rPr>
      <w:rFonts w:ascii="方正小标宋_GBK" w:hAnsi="Calibri Light" w:eastAsia="方正小标宋_GBK" w:cs="黑体"/>
      <w:bCs/>
      <w:sz w:val="44"/>
    </w:rPr>
  </w:style>
  <w:style w:type="paragraph" w:customStyle="1" w:styleId="7">
    <w:name w:val="主体标题"/>
    <w:basedOn w:val="1"/>
    <w:next w:val="1"/>
    <w:qFormat/>
    <w:uiPriority w:val="0"/>
    <w:pPr>
      <w:spacing w:line="620" w:lineRule="exact"/>
      <w:jc w:val="center"/>
    </w:pPr>
    <w:rPr>
      <w:rFonts w:ascii="方正小标宋简体" w:eastAsia="方正小标宋简体"/>
      <w:sz w:val="44"/>
    </w:rPr>
  </w:style>
  <w:style w:type="paragraph" w:customStyle="1" w:styleId="8">
    <w:name w:val="主体正文"/>
    <w:basedOn w:val="1"/>
    <w:qFormat/>
    <w:uiPriority w:val="0"/>
    <w:pPr>
      <w:spacing w:line="578" w:lineRule="exact"/>
      <w:ind w:firstLine="661" w:firstLineChars="227"/>
    </w:pPr>
    <w:rPr>
      <w:rFonts w:ascii="方正仿宋_GBK" w:eastAsia="方正仿宋_GBK"/>
      <w:sz w:val="30"/>
      <w:szCs w:val="30"/>
    </w:rPr>
  </w:style>
  <w:style w:type="character" w:customStyle="1" w:styleId="9">
    <w:name w:val="page number"/>
    <w:basedOn w:val="6"/>
    <w:qFormat/>
    <w:uiPriority w:val="0"/>
    <w:rPr/>
  </w:style>
  <w:style w:type="character" w:customStyle="1" w:styleId="10">
    <w:name w:val="font01"/>
    <w:basedOn w:val="6"/>
    <w:qFormat/>
    <w:uiPriority w:val="0"/>
    <w:rPr>
      <w:rFonts w:hint="eastAsia" w:ascii="等线" w:hAnsi="等线" w:eastAsia="等线" w:cs="等线"/>
      <w:color w:val="FF0000"/>
      <w:sz w:val="22"/>
      <w:szCs w:val="22"/>
      <w:u w:val="none"/>
    </w:rPr>
  </w:style>
  <w:style w:type="character" w:customStyle="1" w:styleId="11">
    <w:name w:val="font41"/>
    <w:basedOn w:val="6"/>
    <w:qFormat/>
    <w:uiPriority w:val="0"/>
    <w:rPr>
      <w:rFonts w:hint="eastAsia" w:ascii="等线" w:hAnsi="等线" w:eastAsia="等线" w:cs="等线"/>
      <w:color w:val="000000"/>
      <w:sz w:val="22"/>
      <w:szCs w:val="22"/>
      <w:u w:val="none"/>
    </w:rPr>
  </w:style>
  <w:style w:type="character" w:customStyle="1" w:styleId="12">
    <w:name w:val="font51"/>
    <w:basedOn w:val="6"/>
    <w:qFormat/>
    <w:uiPriority w:val="0"/>
    <w:rPr>
      <w:rFonts w:hint="eastAsia" w:ascii="等线" w:hAnsi="等线" w:eastAsia="等线" w:cs="等线"/>
      <w:color w:val="FF0000"/>
      <w:sz w:val="22"/>
      <w:szCs w:val="22"/>
      <w:u w:val="none"/>
      <w:vertAlign w:val="superscript"/>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2020-04-20T16:50:00Z</dcterms:created>
  <dc:creator>2017.11.22</dc:creator>
  <cp:lastModifiedBy>张计友</cp:lastModifiedBy>
  <cp:lastPrinted>2021-12-20T16:16:00Z</cp:lastPrinted>
  <dcterms:modified xsi:type="dcterms:W3CDTF">2021-12-21T00:10:48Z</dcterms:modified>
  <dc:title>河北省发展和改革委员会请示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