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30" w:lineRule="exact"/>
        <w:jc w:val="center"/>
        <w:rPr>
          <w:rFonts w:hint="eastAsia" w:ascii="方正小标宋_GBK" w:hAnsi="方正小标宋_GBK" w:eastAsia="方正小标宋_GBK" w:cs="方正小标宋_GBK"/>
          <w:b w:val="0"/>
          <w:bCs w:val="0"/>
          <w:kern w:val="0"/>
          <w:sz w:val="44"/>
          <w:szCs w:val="44"/>
        </w:rPr>
      </w:pPr>
      <w:r>
        <w:rPr>
          <w:rFonts w:hint="eastAsia" w:ascii="方正小标宋_GBK" w:hAnsi="方正小标宋_GBK" w:eastAsia="方正小标宋_GBK" w:cs="方正小标宋_GBK"/>
          <w:b w:val="0"/>
          <w:bCs w:val="0"/>
          <w:kern w:val="0"/>
          <w:sz w:val="44"/>
          <w:szCs w:val="44"/>
        </w:rPr>
        <w:t>湖南省治理货物运输车辆超限超载条例</w:t>
      </w:r>
    </w:p>
    <w:p>
      <w:pPr>
        <w:pStyle w:val="2"/>
        <w:spacing w:line="530" w:lineRule="exact"/>
        <w:jc w:val="center"/>
        <w:rPr>
          <w:rFonts w:ascii="楷体_GB2312" w:hAnsi="楷体" w:eastAsia="楷体_GB2312"/>
          <w:sz w:val="32"/>
          <w:szCs w:val="32"/>
        </w:rPr>
      </w:pPr>
      <w:r>
        <w:rPr>
          <w:rFonts w:hint="eastAsia" w:ascii="楷体_GB2312" w:hAnsi="楷体" w:eastAsia="楷体_GB2312"/>
          <w:sz w:val="32"/>
          <w:szCs w:val="32"/>
        </w:rPr>
        <w:t>（</w:t>
      </w:r>
      <w:r>
        <w:rPr>
          <w:rFonts w:hint="eastAsia" w:ascii="楷体_GB2312" w:hAnsi="楷体" w:eastAsia="楷体_GB2312"/>
          <w:sz w:val="32"/>
          <w:szCs w:val="32"/>
          <w:lang w:eastAsia="zh-CN"/>
        </w:rPr>
        <w:t>征求意见</w:t>
      </w:r>
      <w:r>
        <w:rPr>
          <w:rFonts w:hint="eastAsia" w:ascii="楷体_GB2312" w:hAnsi="楷体" w:eastAsia="楷体_GB2312"/>
          <w:sz w:val="32"/>
          <w:szCs w:val="32"/>
        </w:rPr>
        <w:t>稿）</w:t>
      </w:r>
    </w:p>
    <w:p>
      <w:pPr>
        <w:spacing w:line="530" w:lineRule="exact"/>
        <w:jc w:val="center"/>
        <w:rPr>
          <w:rFonts w:eastAsia="楷体_GB2312"/>
          <w:bCs/>
          <w:spacing w:val="-20"/>
          <w:kern w:val="0"/>
          <w:sz w:val="32"/>
          <w:szCs w:val="32"/>
        </w:rPr>
      </w:pPr>
    </w:p>
    <w:p>
      <w:pPr>
        <w:spacing w:line="530" w:lineRule="exact"/>
        <w:rPr>
          <w:rFonts w:eastAsia="黑体"/>
          <w:bCs/>
          <w:kern w:val="0"/>
          <w:sz w:val="32"/>
          <w:szCs w:val="32"/>
        </w:rPr>
      </w:pPr>
      <w:r>
        <w:rPr>
          <w:rFonts w:eastAsia="方正小标宋简体"/>
          <w:bCs/>
          <w:spacing w:val="-20"/>
          <w:kern w:val="0"/>
          <w:sz w:val="44"/>
          <w:szCs w:val="44"/>
        </w:rPr>
        <w:t xml:space="preserve">                 </w:t>
      </w:r>
      <w:r>
        <w:rPr>
          <w:rFonts w:eastAsia="黑体"/>
          <w:bCs/>
          <w:kern w:val="0"/>
          <w:sz w:val="32"/>
          <w:szCs w:val="32"/>
        </w:rPr>
        <w:t>第一章 总则</w:t>
      </w:r>
    </w:p>
    <w:p>
      <w:pPr>
        <w:adjustRightInd w:val="0"/>
        <w:snapToGrid w:val="0"/>
        <w:spacing w:line="530" w:lineRule="exact"/>
        <w:ind w:firstLine="640" w:firstLineChars="200"/>
        <w:rPr>
          <w:rFonts w:eastAsia="仿宋_GB2312"/>
          <w:kern w:val="0"/>
          <w:sz w:val="32"/>
          <w:szCs w:val="32"/>
        </w:rPr>
      </w:pPr>
      <w:r>
        <w:rPr>
          <w:rFonts w:eastAsia="黑体"/>
          <w:bCs/>
          <w:kern w:val="0"/>
          <w:sz w:val="32"/>
          <w:szCs w:val="32"/>
        </w:rPr>
        <w:t xml:space="preserve">第一条 </w:t>
      </w:r>
      <w:r>
        <w:rPr>
          <w:rFonts w:eastAsia="仿宋_GB2312"/>
          <w:kern w:val="0"/>
          <w:sz w:val="32"/>
          <w:szCs w:val="32"/>
        </w:rPr>
        <w:t>为了加强对货物运输车辆超限超载的治理，保护人民生命财产安全，保障公路完好、安全和畅通，维护货物运输秩序，根据《中华人民共和国公路法》《中华人民共和国道路交通安全法》《中华人民共和国道路运输条例》《公路安全保护条例》等法律法规，结合本省实际，制定本</w:t>
      </w:r>
      <w:r>
        <w:rPr>
          <w:rFonts w:hint="eastAsia" w:eastAsia="仿宋_GB2312"/>
          <w:kern w:val="0"/>
          <w:sz w:val="32"/>
          <w:szCs w:val="32"/>
        </w:rPr>
        <w:t>条例</w:t>
      </w:r>
      <w:r>
        <w:rPr>
          <w:rFonts w:eastAsia="仿宋_GB2312"/>
          <w:kern w:val="0"/>
          <w:sz w:val="32"/>
          <w:szCs w:val="32"/>
        </w:rPr>
        <w:t>。</w:t>
      </w:r>
    </w:p>
    <w:p>
      <w:pPr>
        <w:spacing w:line="530" w:lineRule="exact"/>
        <w:ind w:firstLine="640" w:firstLineChars="200"/>
        <w:rPr>
          <w:rFonts w:eastAsia="仿宋_GB2312"/>
          <w:kern w:val="0"/>
          <w:sz w:val="32"/>
          <w:szCs w:val="32"/>
        </w:rPr>
      </w:pPr>
      <w:r>
        <w:rPr>
          <w:rFonts w:eastAsia="黑体"/>
          <w:bCs/>
          <w:kern w:val="0"/>
          <w:sz w:val="32"/>
          <w:szCs w:val="32"/>
        </w:rPr>
        <w:t xml:space="preserve">第二条 </w:t>
      </w:r>
      <w:r>
        <w:rPr>
          <w:rFonts w:eastAsia="仿宋_GB2312"/>
          <w:kern w:val="0"/>
          <w:sz w:val="32"/>
          <w:szCs w:val="32"/>
        </w:rPr>
        <w:t>本省行政区域内货物运输车辆（以下简称货运车辆）超限超载的治理活动,适用本</w:t>
      </w:r>
      <w:r>
        <w:rPr>
          <w:rFonts w:hint="eastAsia" w:eastAsia="仿宋_GB2312"/>
          <w:kern w:val="0"/>
          <w:sz w:val="32"/>
          <w:szCs w:val="32"/>
        </w:rPr>
        <w:t>条例</w:t>
      </w:r>
      <w:r>
        <w:rPr>
          <w:rFonts w:eastAsia="仿宋_GB2312"/>
          <w:kern w:val="0"/>
          <w:sz w:val="32"/>
          <w:szCs w:val="32"/>
        </w:rPr>
        <w:t>。</w:t>
      </w:r>
    </w:p>
    <w:p>
      <w:pPr>
        <w:adjustRightInd w:val="0"/>
        <w:snapToGrid w:val="0"/>
        <w:spacing w:line="530" w:lineRule="exact"/>
        <w:ind w:firstLine="640" w:firstLineChars="200"/>
        <w:rPr>
          <w:rFonts w:eastAsia="仿宋_GB2312"/>
          <w:kern w:val="0"/>
          <w:sz w:val="32"/>
          <w:szCs w:val="32"/>
        </w:rPr>
      </w:pPr>
      <w:r>
        <w:rPr>
          <w:rFonts w:eastAsia="仿宋_GB2312"/>
          <w:kern w:val="0"/>
          <w:sz w:val="32"/>
          <w:szCs w:val="32"/>
        </w:rPr>
        <w:t>本</w:t>
      </w:r>
      <w:r>
        <w:rPr>
          <w:rFonts w:hint="eastAsia" w:eastAsia="仿宋_GB2312"/>
          <w:kern w:val="0"/>
          <w:sz w:val="32"/>
          <w:szCs w:val="32"/>
        </w:rPr>
        <w:t>条例</w:t>
      </w:r>
      <w:r>
        <w:rPr>
          <w:rFonts w:eastAsia="仿宋_GB2312"/>
          <w:kern w:val="0"/>
          <w:sz w:val="32"/>
          <w:szCs w:val="32"/>
        </w:rPr>
        <w:t>所称超限，是指货运车辆</w:t>
      </w:r>
      <w:r>
        <w:rPr>
          <w:rFonts w:hint="eastAsia" w:eastAsia="仿宋_GB2312"/>
          <w:kern w:val="0"/>
          <w:sz w:val="32"/>
          <w:szCs w:val="32"/>
        </w:rPr>
        <w:t>车货总体</w:t>
      </w:r>
      <w:r>
        <w:rPr>
          <w:rFonts w:eastAsia="仿宋_GB2312"/>
          <w:kern w:val="0"/>
          <w:sz w:val="32"/>
          <w:szCs w:val="32"/>
        </w:rPr>
        <w:t>的外廓尺寸、轴荷、总质量超过公路</w:t>
      </w:r>
      <w:r>
        <w:rPr>
          <w:rFonts w:hint="eastAsia" w:eastAsia="仿宋_GB2312"/>
          <w:kern w:val="0"/>
          <w:sz w:val="32"/>
          <w:szCs w:val="32"/>
        </w:rPr>
        <w:t>、公路桥梁、公路隧道</w:t>
      </w:r>
      <w:r>
        <w:rPr>
          <w:rFonts w:eastAsia="仿宋_GB2312"/>
          <w:kern w:val="0"/>
          <w:sz w:val="32"/>
          <w:szCs w:val="32"/>
        </w:rPr>
        <w:t>标明的限载、限高、限宽、限长标准</w:t>
      </w:r>
      <w:r>
        <w:rPr>
          <w:rFonts w:hint="eastAsia" w:eastAsia="仿宋_GB2312"/>
          <w:kern w:val="0"/>
          <w:sz w:val="32"/>
          <w:szCs w:val="32"/>
        </w:rPr>
        <w:t>或者超过机动车</w:t>
      </w:r>
      <w:r>
        <w:rPr>
          <w:rFonts w:eastAsia="仿宋_GB2312"/>
          <w:kern w:val="0"/>
          <w:sz w:val="32"/>
          <w:szCs w:val="32"/>
        </w:rPr>
        <w:t>外廓尺寸、轴荷、质量</w:t>
      </w:r>
      <w:r>
        <w:rPr>
          <w:rFonts w:hint="eastAsia" w:eastAsia="仿宋_GB2312"/>
          <w:kern w:val="0"/>
          <w:sz w:val="32"/>
          <w:szCs w:val="32"/>
        </w:rPr>
        <w:t>限值的强制性</w:t>
      </w:r>
      <w:r>
        <w:rPr>
          <w:rFonts w:eastAsia="仿宋_GB2312"/>
          <w:kern w:val="0"/>
          <w:sz w:val="32"/>
          <w:szCs w:val="32"/>
        </w:rPr>
        <w:t>国家标准</w:t>
      </w:r>
      <w:r>
        <w:rPr>
          <w:rFonts w:hint="eastAsia" w:eastAsia="仿宋_GB2312"/>
          <w:kern w:val="0"/>
          <w:sz w:val="32"/>
          <w:szCs w:val="32"/>
        </w:rPr>
        <w:t>。</w:t>
      </w:r>
    </w:p>
    <w:p>
      <w:pPr>
        <w:adjustRightInd w:val="0"/>
        <w:snapToGrid w:val="0"/>
        <w:spacing w:line="530" w:lineRule="exact"/>
        <w:ind w:firstLine="640" w:firstLineChars="200"/>
        <w:rPr>
          <w:rFonts w:eastAsia="仿宋_GB2312"/>
          <w:spacing w:val="-6"/>
          <w:sz w:val="32"/>
          <w:szCs w:val="32"/>
        </w:rPr>
      </w:pPr>
      <w:r>
        <w:rPr>
          <w:rFonts w:eastAsia="仿宋_GB2312"/>
          <w:kern w:val="0"/>
          <w:sz w:val="32"/>
          <w:szCs w:val="32"/>
        </w:rPr>
        <w:t>本</w:t>
      </w:r>
      <w:r>
        <w:rPr>
          <w:rFonts w:hint="eastAsia" w:eastAsia="仿宋_GB2312"/>
          <w:kern w:val="0"/>
          <w:sz w:val="32"/>
          <w:szCs w:val="32"/>
        </w:rPr>
        <w:t>条例</w:t>
      </w:r>
      <w:r>
        <w:rPr>
          <w:rFonts w:eastAsia="仿宋_GB2312"/>
          <w:kern w:val="0"/>
          <w:sz w:val="32"/>
          <w:szCs w:val="32"/>
        </w:rPr>
        <w:t>所称超载，是指货运车辆载物超过</w:t>
      </w:r>
      <w:r>
        <w:rPr>
          <w:rFonts w:hint="eastAsia" w:eastAsia="仿宋_GB2312"/>
          <w:kern w:val="0"/>
          <w:sz w:val="32"/>
          <w:szCs w:val="32"/>
        </w:rPr>
        <w:t>机动车</w:t>
      </w:r>
      <w:r>
        <w:rPr>
          <w:rFonts w:eastAsia="仿宋_GB2312"/>
          <w:kern w:val="0"/>
          <w:sz w:val="32"/>
          <w:szCs w:val="32"/>
        </w:rPr>
        <w:t>行驶证</w:t>
      </w:r>
      <w:r>
        <w:rPr>
          <w:rFonts w:hint="eastAsia" w:eastAsia="仿宋_GB2312"/>
          <w:kern w:val="0"/>
          <w:sz w:val="32"/>
          <w:szCs w:val="32"/>
        </w:rPr>
        <w:t>上</w:t>
      </w:r>
      <w:r>
        <w:rPr>
          <w:rFonts w:eastAsia="仿宋_GB2312"/>
          <w:kern w:val="0"/>
          <w:sz w:val="32"/>
          <w:szCs w:val="32"/>
        </w:rPr>
        <w:t>核定</w:t>
      </w:r>
      <w:r>
        <w:rPr>
          <w:rFonts w:hint="eastAsia" w:eastAsia="仿宋_GB2312"/>
          <w:kern w:val="0"/>
          <w:sz w:val="32"/>
          <w:szCs w:val="32"/>
        </w:rPr>
        <w:t>的</w:t>
      </w:r>
      <w:r>
        <w:rPr>
          <w:rFonts w:eastAsia="仿宋_GB2312"/>
          <w:kern w:val="0"/>
          <w:sz w:val="32"/>
          <w:szCs w:val="32"/>
        </w:rPr>
        <w:t>载质量</w:t>
      </w:r>
      <w:r>
        <w:rPr>
          <w:rFonts w:hint="eastAsia" w:eastAsia="仿宋_GB2312"/>
          <w:kern w:val="0"/>
          <w:sz w:val="32"/>
          <w:szCs w:val="32"/>
        </w:rPr>
        <w:t>，装载长度、宽度超出车厢</w:t>
      </w:r>
      <w:r>
        <w:rPr>
          <w:rFonts w:eastAsia="仿宋_GB2312"/>
          <w:kern w:val="0"/>
          <w:sz w:val="32"/>
          <w:szCs w:val="32"/>
        </w:rPr>
        <w:t>。</w:t>
      </w:r>
    </w:p>
    <w:p>
      <w:pPr>
        <w:spacing w:line="530" w:lineRule="exact"/>
        <w:ind w:firstLine="640" w:firstLineChars="200"/>
        <w:rPr>
          <w:rFonts w:eastAsia="仿宋_GB2312"/>
          <w:sz w:val="32"/>
          <w:szCs w:val="32"/>
        </w:rPr>
      </w:pPr>
      <w:r>
        <w:rPr>
          <w:rFonts w:eastAsia="黑体"/>
          <w:bCs/>
          <w:kern w:val="0"/>
          <w:sz w:val="32"/>
          <w:szCs w:val="32"/>
        </w:rPr>
        <w:t xml:space="preserve">第三条 </w:t>
      </w:r>
      <w:r>
        <w:rPr>
          <w:rFonts w:eastAsia="仿宋_GB2312"/>
          <w:sz w:val="32"/>
          <w:szCs w:val="32"/>
        </w:rPr>
        <w:t>县级以上人民政府应当加强对货运车辆超限超载治理工作的领导。</w:t>
      </w:r>
    </w:p>
    <w:p>
      <w:pPr>
        <w:adjustRightInd w:val="0"/>
        <w:snapToGrid w:val="0"/>
        <w:spacing w:line="530" w:lineRule="exact"/>
        <w:ind w:firstLine="640" w:firstLineChars="200"/>
        <w:rPr>
          <w:rFonts w:eastAsia="仿宋_GB2312"/>
          <w:kern w:val="0"/>
          <w:sz w:val="32"/>
          <w:szCs w:val="32"/>
        </w:rPr>
      </w:pPr>
      <w:r>
        <w:rPr>
          <w:rFonts w:eastAsia="仿宋_GB2312"/>
          <w:kern w:val="0"/>
          <w:sz w:val="32"/>
          <w:szCs w:val="32"/>
        </w:rPr>
        <w:t>县级以上人民政府</w:t>
      </w:r>
      <w:r>
        <w:rPr>
          <w:rFonts w:eastAsia="仿宋_GB2312"/>
          <w:sz w:val="32"/>
          <w:szCs w:val="32"/>
        </w:rPr>
        <w:t>交通运输主管部门和公安机关负责本行政区域内货运车辆超限超载治理工作</w:t>
      </w:r>
      <w:r>
        <w:rPr>
          <w:rFonts w:hint="eastAsia" w:eastAsia="仿宋_GB2312"/>
          <w:sz w:val="32"/>
          <w:szCs w:val="32"/>
        </w:rPr>
        <w:t>。</w:t>
      </w:r>
      <w:r>
        <w:rPr>
          <w:rFonts w:hint="eastAsia" w:eastAsia="仿宋_GB2312"/>
          <w:kern w:val="0"/>
          <w:sz w:val="32"/>
          <w:szCs w:val="32"/>
        </w:rPr>
        <w:t>依据职责分工，</w:t>
      </w:r>
      <w:r>
        <w:rPr>
          <w:rFonts w:eastAsia="仿宋_GB2312"/>
          <w:kern w:val="0"/>
          <w:sz w:val="32"/>
          <w:szCs w:val="32"/>
        </w:rPr>
        <w:t>交通运输综合</w:t>
      </w:r>
      <w:r>
        <w:rPr>
          <w:rFonts w:hint="eastAsia" w:eastAsia="仿宋_GB2312"/>
          <w:kern w:val="0"/>
          <w:sz w:val="32"/>
          <w:szCs w:val="32"/>
        </w:rPr>
        <w:t>行政</w:t>
      </w:r>
      <w:r>
        <w:rPr>
          <w:rFonts w:eastAsia="仿宋_GB2312"/>
          <w:kern w:val="0"/>
          <w:sz w:val="32"/>
          <w:szCs w:val="32"/>
        </w:rPr>
        <w:t>执法机构</w:t>
      </w:r>
      <w:r>
        <w:rPr>
          <w:rFonts w:hint="eastAsia" w:eastAsia="仿宋_GB2312"/>
          <w:kern w:val="0"/>
          <w:sz w:val="32"/>
          <w:szCs w:val="32"/>
        </w:rPr>
        <w:t>以交通运输主管部门的名义具体负责本行政区域内货运车辆</w:t>
      </w:r>
      <w:r>
        <w:rPr>
          <w:rFonts w:eastAsia="仿宋_GB2312"/>
          <w:kern w:val="0"/>
          <w:sz w:val="32"/>
          <w:szCs w:val="32"/>
        </w:rPr>
        <w:t>超限</w:t>
      </w:r>
      <w:r>
        <w:rPr>
          <w:rFonts w:hint="eastAsia" w:eastAsia="仿宋_GB2312"/>
          <w:kern w:val="0"/>
          <w:sz w:val="32"/>
          <w:szCs w:val="32"/>
        </w:rPr>
        <w:t>治理工作；</w:t>
      </w:r>
      <w:r>
        <w:rPr>
          <w:rFonts w:eastAsia="仿宋_GB2312"/>
          <w:kern w:val="0"/>
          <w:sz w:val="32"/>
          <w:szCs w:val="32"/>
        </w:rPr>
        <w:t>公安机关交通管理部门具体负责本行政区域内货运车辆超载治理工作</w:t>
      </w:r>
      <w:r>
        <w:rPr>
          <w:rFonts w:hint="eastAsia" w:eastAsia="仿宋_GB2312"/>
          <w:kern w:val="0"/>
          <w:sz w:val="32"/>
          <w:szCs w:val="32"/>
        </w:rPr>
        <w:t>。</w:t>
      </w:r>
    </w:p>
    <w:p>
      <w:pPr>
        <w:adjustRightInd w:val="0"/>
        <w:snapToGrid w:val="0"/>
        <w:spacing w:line="530" w:lineRule="exact"/>
        <w:ind w:firstLine="640" w:firstLineChars="200"/>
        <w:rPr>
          <w:rFonts w:eastAsia="仿宋_GB2312"/>
          <w:kern w:val="0"/>
          <w:sz w:val="32"/>
          <w:szCs w:val="32"/>
        </w:rPr>
      </w:pPr>
      <w:r>
        <w:rPr>
          <w:rFonts w:eastAsia="仿宋_GB2312"/>
          <w:kern w:val="0"/>
          <w:sz w:val="32"/>
          <w:szCs w:val="32"/>
        </w:rPr>
        <w:t>县级以上人民政府发展改革、工业和信息化、市场监督管理、财政、自然资源、住房城乡建设</w:t>
      </w:r>
      <w:r>
        <w:rPr>
          <w:rFonts w:hint="eastAsia" w:eastAsia="仿宋_GB2312"/>
          <w:kern w:val="0"/>
          <w:sz w:val="32"/>
          <w:szCs w:val="32"/>
        </w:rPr>
        <w:t>或者城市管理</w:t>
      </w:r>
      <w:r>
        <w:rPr>
          <w:rFonts w:eastAsia="仿宋_GB2312"/>
          <w:kern w:val="0"/>
          <w:sz w:val="32"/>
          <w:szCs w:val="32"/>
        </w:rPr>
        <w:t>、水利、应急管理等有关部门应当按照各自职责，做好货运车辆超限超载治理工作。</w:t>
      </w:r>
    </w:p>
    <w:p>
      <w:pPr>
        <w:spacing w:line="530" w:lineRule="exact"/>
        <w:ind w:firstLine="640" w:firstLineChars="200"/>
        <w:rPr>
          <w:rFonts w:eastAsia="仿宋_GB2312"/>
          <w:kern w:val="0"/>
          <w:sz w:val="32"/>
          <w:szCs w:val="32"/>
        </w:rPr>
      </w:pPr>
      <w:r>
        <w:rPr>
          <w:rFonts w:eastAsia="仿宋_GB2312"/>
          <w:sz w:val="32"/>
          <w:szCs w:val="32"/>
        </w:rPr>
        <w:t>乡(镇)人民政府、街道办事处应当协助有关职能部门做好本辖区内货运车辆超限超载治理工作。</w:t>
      </w:r>
    </w:p>
    <w:p>
      <w:pPr>
        <w:spacing w:line="530" w:lineRule="exact"/>
        <w:ind w:firstLine="640" w:firstLineChars="200"/>
        <w:rPr>
          <w:rFonts w:eastAsia="仿宋_GB2312"/>
          <w:sz w:val="32"/>
          <w:szCs w:val="32"/>
        </w:rPr>
      </w:pPr>
      <w:r>
        <w:rPr>
          <w:rFonts w:eastAsia="黑体"/>
          <w:bCs/>
          <w:kern w:val="0"/>
          <w:sz w:val="32"/>
          <w:szCs w:val="32"/>
        </w:rPr>
        <w:t xml:space="preserve">第四条 </w:t>
      </w:r>
      <w:r>
        <w:rPr>
          <w:rFonts w:eastAsia="仿宋_GB2312"/>
          <w:sz w:val="32"/>
          <w:szCs w:val="32"/>
        </w:rPr>
        <w:t>县级以上人民政府应当将货运车辆超限超载治理工作纳入政府年度工作目标考核内容，建立货运车辆超限超载治理工作协调机制，并将治理经费纳入本级财政预算。</w:t>
      </w:r>
    </w:p>
    <w:p>
      <w:pPr>
        <w:spacing w:line="530" w:lineRule="exact"/>
        <w:ind w:firstLine="640" w:firstLineChars="200"/>
        <w:rPr>
          <w:rFonts w:eastAsia="仿宋_GB2312"/>
          <w:sz w:val="32"/>
          <w:szCs w:val="32"/>
        </w:rPr>
      </w:pPr>
      <w:r>
        <w:rPr>
          <w:rFonts w:eastAsia="黑体"/>
          <w:bCs/>
          <w:kern w:val="0"/>
          <w:sz w:val="32"/>
          <w:szCs w:val="32"/>
        </w:rPr>
        <w:t xml:space="preserve">第五条 </w:t>
      </w:r>
      <w:r>
        <w:rPr>
          <w:rFonts w:eastAsia="仿宋_GB2312"/>
          <w:sz w:val="32"/>
          <w:szCs w:val="32"/>
        </w:rPr>
        <w:t>省人民政府交通运输主管部门应当建设全省统一的货运车辆治超信息平台，并与</w:t>
      </w:r>
      <w:r>
        <w:rPr>
          <w:rFonts w:hint="eastAsia" w:eastAsia="仿宋_GB2312"/>
          <w:sz w:val="32"/>
          <w:szCs w:val="32"/>
        </w:rPr>
        <w:t>公安机关交通管理部门</w:t>
      </w:r>
      <w:r>
        <w:rPr>
          <w:rFonts w:eastAsia="仿宋_GB2312"/>
          <w:sz w:val="32"/>
          <w:szCs w:val="32"/>
        </w:rPr>
        <w:t>道路监管云平台对接，实行信息共享。设区的市、县（市、区）货运车辆治超信息应当纳入省货运车辆治超信息平台。</w:t>
      </w:r>
    </w:p>
    <w:p>
      <w:pPr>
        <w:spacing w:line="530" w:lineRule="exact"/>
        <w:ind w:firstLine="640" w:firstLineChars="200"/>
        <w:rPr>
          <w:rFonts w:eastAsia="仿宋_GB2312"/>
          <w:kern w:val="0"/>
          <w:sz w:val="32"/>
          <w:szCs w:val="32"/>
        </w:rPr>
      </w:pPr>
      <w:r>
        <w:rPr>
          <w:rFonts w:eastAsia="仿宋_GB2312"/>
          <w:sz w:val="32"/>
          <w:szCs w:val="32"/>
        </w:rPr>
        <w:t>县级以上人民政府交通运输主管</w:t>
      </w:r>
      <w:r>
        <w:rPr>
          <w:rFonts w:eastAsia="仿宋_GB2312"/>
          <w:bCs/>
          <w:sz w:val="32"/>
          <w:szCs w:val="32"/>
        </w:rPr>
        <w:t>部门应当利用货运车辆治超信息平台，及时登记、</w:t>
      </w:r>
      <w:r>
        <w:rPr>
          <w:rFonts w:eastAsia="仿宋_GB2312"/>
          <w:sz w:val="32"/>
          <w:szCs w:val="32"/>
        </w:rPr>
        <w:t>抄告、公示货运车辆超限超载违法行为及处罚情况。建立超限超载严重违法失信人名单，纳入公共信用信息平台，定期向社会公布。</w:t>
      </w:r>
    </w:p>
    <w:p>
      <w:pPr>
        <w:pStyle w:val="12"/>
        <w:spacing w:line="530" w:lineRule="exact"/>
        <w:ind w:firstLine="640" w:firstLineChars="200"/>
        <w:rPr>
          <w:rFonts w:ascii="Times New Roman" w:hAnsi="Times New Roman" w:eastAsia="仿宋_GB2312"/>
          <w:kern w:val="0"/>
          <w:sz w:val="32"/>
          <w:szCs w:val="32"/>
        </w:rPr>
      </w:pPr>
      <w:r>
        <w:rPr>
          <w:rFonts w:ascii="Times New Roman" w:hAnsi="Times New Roman" w:eastAsia="黑体"/>
          <w:bCs/>
          <w:kern w:val="0"/>
          <w:sz w:val="32"/>
          <w:szCs w:val="32"/>
        </w:rPr>
        <w:t xml:space="preserve">第六条 </w:t>
      </w:r>
      <w:r>
        <w:rPr>
          <w:rFonts w:ascii="Times New Roman" w:hAnsi="Times New Roman" w:eastAsia="仿宋_GB2312"/>
          <w:kern w:val="0"/>
          <w:sz w:val="32"/>
          <w:szCs w:val="32"/>
        </w:rPr>
        <w:t>县级以上人民政府及其有关部门、新闻媒体应当加强对超限超载运输治理工作的宣传，引导货物运输经营者和车辆驾驶人依法装载、安全运输。</w:t>
      </w:r>
    </w:p>
    <w:p>
      <w:pPr>
        <w:spacing w:line="530" w:lineRule="exact"/>
        <w:ind w:firstLine="640" w:firstLineChars="200"/>
        <w:rPr>
          <w:rFonts w:eastAsia="仿宋_GB2312"/>
          <w:kern w:val="0"/>
          <w:sz w:val="32"/>
          <w:szCs w:val="32"/>
        </w:rPr>
      </w:pPr>
      <w:r>
        <w:rPr>
          <w:rFonts w:eastAsia="黑体"/>
          <w:bCs/>
          <w:kern w:val="0"/>
          <w:sz w:val="32"/>
          <w:szCs w:val="32"/>
        </w:rPr>
        <w:t xml:space="preserve">第七条 </w:t>
      </w:r>
      <w:r>
        <w:rPr>
          <w:rFonts w:eastAsia="仿宋_GB2312"/>
          <w:bCs/>
          <w:kern w:val="0"/>
          <w:sz w:val="32"/>
          <w:szCs w:val="32"/>
        </w:rPr>
        <w:t>县级以上人民政府交通运输主管部门和公安机关应当公布举报电话。任何单位和个人均有权举报货运车辆超限超载的违</w:t>
      </w:r>
      <w:r>
        <w:rPr>
          <w:rFonts w:eastAsia="仿宋_GB2312"/>
          <w:kern w:val="0"/>
          <w:sz w:val="32"/>
          <w:szCs w:val="32"/>
        </w:rPr>
        <w:t xml:space="preserve">法行为。 </w:t>
      </w:r>
    </w:p>
    <w:p>
      <w:pPr>
        <w:spacing w:line="530" w:lineRule="exact"/>
        <w:ind w:firstLine="640" w:firstLineChars="200"/>
        <w:rPr>
          <w:rFonts w:eastAsia="仿宋_GB2312"/>
          <w:kern w:val="0"/>
          <w:sz w:val="32"/>
          <w:szCs w:val="32"/>
        </w:rPr>
      </w:pPr>
      <w:r>
        <w:rPr>
          <w:rFonts w:eastAsia="仿宋_GB2312"/>
          <w:kern w:val="0"/>
          <w:sz w:val="32"/>
          <w:szCs w:val="32"/>
        </w:rPr>
        <w:t>县级以上人民政府交通运输主管部门或者公安机关接到举报后，应当及时调查处理。对查证属实的，按照国家和省有关规定给予举报人奖励，并为举报人保密。</w:t>
      </w:r>
    </w:p>
    <w:p>
      <w:pPr>
        <w:snapToGrid w:val="0"/>
        <w:spacing w:line="530" w:lineRule="exact"/>
        <w:ind w:firstLine="2880" w:firstLineChars="900"/>
        <w:rPr>
          <w:rFonts w:eastAsia="黑体"/>
          <w:bCs/>
          <w:kern w:val="0"/>
          <w:sz w:val="32"/>
          <w:szCs w:val="32"/>
        </w:rPr>
      </w:pPr>
      <w:r>
        <w:rPr>
          <w:rFonts w:eastAsia="黑体"/>
          <w:bCs/>
          <w:kern w:val="0"/>
          <w:sz w:val="32"/>
          <w:szCs w:val="32"/>
        </w:rPr>
        <w:t>第二章 源头管理</w:t>
      </w:r>
    </w:p>
    <w:p>
      <w:pPr>
        <w:spacing w:line="530" w:lineRule="exact"/>
        <w:ind w:firstLine="640" w:firstLineChars="200"/>
        <w:rPr>
          <w:rFonts w:eastAsia="仿宋_GB2312"/>
          <w:kern w:val="0"/>
          <w:sz w:val="32"/>
          <w:szCs w:val="32"/>
        </w:rPr>
      </w:pPr>
      <w:r>
        <w:rPr>
          <w:rFonts w:eastAsia="黑体"/>
          <w:bCs/>
          <w:kern w:val="0"/>
          <w:sz w:val="32"/>
          <w:szCs w:val="32"/>
        </w:rPr>
        <w:t xml:space="preserve">第八条 </w:t>
      </w:r>
      <w:r>
        <w:rPr>
          <w:rFonts w:eastAsia="仿宋_GB2312"/>
          <w:kern w:val="0"/>
          <w:sz w:val="32"/>
          <w:szCs w:val="32"/>
        </w:rPr>
        <w:t>车辆生产、销售企业不得生产、销售不符合机动车国家安全技术标准的货运车辆，不得擅自改装或者拼装货运车辆。车辆维修企业不得擅自改装或者拼装货运车辆。</w:t>
      </w:r>
    </w:p>
    <w:p>
      <w:pPr>
        <w:spacing w:line="530" w:lineRule="exact"/>
        <w:ind w:firstLine="640" w:firstLineChars="200"/>
        <w:rPr>
          <w:rFonts w:eastAsia="仿宋_GB2312"/>
          <w:bCs/>
          <w:kern w:val="0"/>
          <w:sz w:val="32"/>
          <w:szCs w:val="32"/>
        </w:rPr>
      </w:pPr>
      <w:r>
        <w:rPr>
          <w:rFonts w:eastAsia="仿宋_GB2312"/>
          <w:bCs/>
          <w:kern w:val="0"/>
          <w:sz w:val="32"/>
          <w:szCs w:val="32"/>
        </w:rPr>
        <w:t>公安机关交通管理部门不得为擅自改装或者拼装的车辆上牌和年检。对非法改装或者拼装的车辆，按照规定责令恢复原状或者予以强制报废。</w:t>
      </w:r>
    </w:p>
    <w:p>
      <w:pPr>
        <w:spacing w:line="530" w:lineRule="exact"/>
        <w:ind w:firstLine="640" w:firstLineChars="200"/>
        <w:rPr>
          <w:rFonts w:eastAsia="仿宋_GB2312"/>
          <w:kern w:val="0"/>
          <w:sz w:val="32"/>
          <w:szCs w:val="32"/>
        </w:rPr>
      </w:pPr>
      <w:r>
        <w:rPr>
          <w:rFonts w:eastAsia="黑体"/>
          <w:bCs/>
          <w:kern w:val="0"/>
          <w:sz w:val="32"/>
          <w:szCs w:val="32"/>
        </w:rPr>
        <w:t xml:space="preserve">第九条 </w:t>
      </w:r>
      <w:r>
        <w:rPr>
          <w:rFonts w:eastAsia="仿宋_GB2312"/>
          <w:kern w:val="0"/>
          <w:sz w:val="32"/>
          <w:szCs w:val="32"/>
        </w:rPr>
        <w:t>煤炭、钢材、水泥、混凝土、砂石、土方等货物装载地以及物流园区、货运站（场）、港口码头的规模化经营者（以下简称货物单位）</w:t>
      </w:r>
      <w:r>
        <w:rPr>
          <w:rFonts w:hint="eastAsia" w:eastAsia="仿宋_GB2312"/>
          <w:kern w:val="0"/>
          <w:sz w:val="32"/>
          <w:szCs w:val="32"/>
        </w:rPr>
        <w:t>应当遵守下列规定：</w:t>
      </w:r>
    </w:p>
    <w:p>
      <w:pPr>
        <w:spacing w:line="530" w:lineRule="exact"/>
        <w:ind w:firstLine="640" w:firstLineChars="200"/>
        <w:rPr>
          <w:rFonts w:eastAsia="仿宋_GB2312"/>
          <w:kern w:val="0"/>
          <w:sz w:val="32"/>
          <w:szCs w:val="32"/>
        </w:rPr>
      </w:pPr>
      <w:r>
        <w:rPr>
          <w:rFonts w:hint="eastAsia" w:eastAsia="仿宋_GB2312"/>
          <w:kern w:val="0"/>
          <w:sz w:val="32"/>
          <w:szCs w:val="32"/>
        </w:rPr>
        <w:t>（一）明确装载、计量、放行等有关从业人员职责，建立并落实责任追究制度；</w:t>
      </w:r>
    </w:p>
    <w:p>
      <w:pPr>
        <w:spacing w:line="530" w:lineRule="exact"/>
        <w:ind w:firstLine="640" w:firstLineChars="200"/>
        <w:rPr>
          <w:rFonts w:eastAsia="仿宋_GB2312"/>
          <w:kern w:val="0"/>
          <w:sz w:val="32"/>
          <w:szCs w:val="32"/>
        </w:rPr>
      </w:pPr>
      <w:r>
        <w:rPr>
          <w:rFonts w:hint="eastAsia" w:eastAsia="仿宋_GB2312"/>
          <w:kern w:val="0"/>
          <w:sz w:val="32"/>
          <w:szCs w:val="32"/>
        </w:rPr>
        <w:t>（二）配置符合国家标准的货运计量和监控设备，</w:t>
      </w:r>
      <w:r>
        <w:rPr>
          <w:rFonts w:eastAsia="仿宋_GB2312"/>
          <w:kern w:val="0"/>
          <w:sz w:val="32"/>
          <w:szCs w:val="32"/>
        </w:rPr>
        <w:t>并与县级以上货运车辆治超信息平台联网</w:t>
      </w:r>
      <w:r>
        <w:rPr>
          <w:rFonts w:hint="eastAsia" w:eastAsia="仿宋_GB2312"/>
          <w:kern w:val="0"/>
          <w:sz w:val="32"/>
          <w:szCs w:val="32"/>
        </w:rPr>
        <w:t>；</w:t>
      </w:r>
    </w:p>
    <w:p>
      <w:pPr>
        <w:spacing w:line="530" w:lineRule="exact"/>
        <w:ind w:firstLine="640" w:firstLineChars="200"/>
        <w:rPr>
          <w:rFonts w:eastAsia="仿宋_GB2312"/>
          <w:kern w:val="0"/>
          <w:sz w:val="32"/>
          <w:szCs w:val="32"/>
        </w:rPr>
      </w:pPr>
      <w:r>
        <w:rPr>
          <w:rFonts w:hint="eastAsia" w:eastAsia="仿宋_GB2312"/>
          <w:kern w:val="0"/>
          <w:sz w:val="32"/>
          <w:szCs w:val="32"/>
        </w:rPr>
        <w:t>（三）对货运车辆的行驶证、车辆营运证和驾驶人从业资格证等基本信息进行登记；</w:t>
      </w:r>
    </w:p>
    <w:p>
      <w:pPr>
        <w:spacing w:line="530" w:lineRule="exact"/>
        <w:ind w:firstLine="640" w:firstLineChars="200"/>
        <w:rPr>
          <w:rFonts w:eastAsia="仿宋_GB2312"/>
          <w:kern w:val="0"/>
          <w:sz w:val="32"/>
          <w:szCs w:val="32"/>
        </w:rPr>
      </w:pPr>
      <w:r>
        <w:rPr>
          <w:rFonts w:hint="eastAsia" w:eastAsia="仿宋_GB2312"/>
          <w:kern w:val="0"/>
          <w:sz w:val="32"/>
          <w:szCs w:val="32"/>
        </w:rPr>
        <w:t>（四）为货运车辆如实计重、开票、出具装载证明；</w:t>
      </w:r>
    </w:p>
    <w:p>
      <w:pPr>
        <w:spacing w:line="530" w:lineRule="exact"/>
        <w:ind w:firstLine="640" w:firstLineChars="200"/>
        <w:rPr>
          <w:rFonts w:eastAsia="仿宋_GB2312"/>
          <w:kern w:val="0"/>
          <w:sz w:val="32"/>
          <w:szCs w:val="32"/>
        </w:rPr>
      </w:pPr>
      <w:r>
        <w:rPr>
          <w:rFonts w:hint="eastAsia" w:eastAsia="仿宋_GB2312"/>
          <w:kern w:val="0"/>
          <w:sz w:val="32"/>
          <w:szCs w:val="32"/>
        </w:rPr>
        <w:t>（五）建立货运车辆装载登记、统计制度和档案；</w:t>
      </w:r>
    </w:p>
    <w:p>
      <w:pPr>
        <w:spacing w:line="530" w:lineRule="exact"/>
        <w:ind w:firstLine="640" w:firstLineChars="200"/>
        <w:rPr>
          <w:rFonts w:eastAsia="仿宋_GB2312"/>
          <w:kern w:val="0"/>
          <w:sz w:val="32"/>
          <w:szCs w:val="32"/>
        </w:rPr>
      </w:pPr>
      <w:r>
        <w:rPr>
          <w:rFonts w:hint="eastAsia" w:eastAsia="仿宋_GB2312"/>
          <w:kern w:val="0"/>
          <w:sz w:val="32"/>
          <w:szCs w:val="32"/>
        </w:rPr>
        <w:t>（六）接受监管部门的监督检查，如实提供相关资料。</w:t>
      </w:r>
    </w:p>
    <w:p>
      <w:pPr>
        <w:spacing w:line="530" w:lineRule="exact"/>
        <w:ind w:firstLine="640" w:firstLineChars="200"/>
        <w:rPr>
          <w:rFonts w:eastAsia="仿宋_GB2312"/>
          <w:kern w:val="0"/>
          <w:sz w:val="32"/>
          <w:szCs w:val="32"/>
        </w:rPr>
      </w:pPr>
      <w:r>
        <w:rPr>
          <w:rFonts w:hint="eastAsia" w:ascii="黑体" w:eastAsia="黑体"/>
          <w:kern w:val="0"/>
          <w:sz w:val="32"/>
          <w:szCs w:val="32"/>
        </w:rPr>
        <w:t>第十条</w:t>
      </w:r>
      <w:r>
        <w:rPr>
          <w:rFonts w:hint="eastAsia" w:eastAsia="仿宋_GB2312"/>
          <w:kern w:val="0"/>
          <w:sz w:val="32"/>
          <w:szCs w:val="32"/>
        </w:rPr>
        <w:t xml:space="preserve"> </w:t>
      </w:r>
      <w:r>
        <w:rPr>
          <w:rFonts w:eastAsia="仿宋_GB2312"/>
          <w:kern w:val="0"/>
          <w:sz w:val="32"/>
          <w:szCs w:val="32"/>
        </w:rPr>
        <w:t xml:space="preserve">货物单位不得有下列行为： </w:t>
      </w:r>
    </w:p>
    <w:p>
      <w:pPr>
        <w:spacing w:line="530" w:lineRule="exact"/>
        <w:ind w:firstLine="640" w:firstLineChars="200"/>
        <w:rPr>
          <w:rFonts w:eastAsia="仿宋_GB2312"/>
          <w:kern w:val="0"/>
          <w:sz w:val="32"/>
          <w:szCs w:val="32"/>
        </w:rPr>
      </w:pPr>
      <w:r>
        <w:rPr>
          <w:rFonts w:eastAsia="仿宋_GB2312"/>
          <w:kern w:val="0"/>
          <w:sz w:val="32"/>
          <w:szCs w:val="32"/>
        </w:rPr>
        <w:t>（一）为无号牌</w:t>
      </w:r>
      <w:r>
        <w:rPr>
          <w:rFonts w:hint="eastAsia" w:eastAsia="仿宋_GB2312"/>
          <w:kern w:val="0"/>
          <w:sz w:val="32"/>
          <w:szCs w:val="32"/>
        </w:rPr>
        <w:t>或者</w:t>
      </w:r>
      <w:r>
        <w:rPr>
          <w:rFonts w:eastAsia="仿宋_GB2312"/>
          <w:kern w:val="0"/>
          <w:sz w:val="32"/>
          <w:szCs w:val="32"/>
        </w:rPr>
        <w:t>无车辆行驶证的货运车辆装载配载货物</w:t>
      </w:r>
      <w:r>
        <w:rPr>
          <w:rFonts w:hint="eastAsia" w:eastAsia="仿宋_GB2312"/>
          <w:kern w:val="0"/>
          <w:sz w:val="32"/>
          <w:szCs w:val="32"/>
        </w:rPr>
        <w:t>，有临时号牌但无车辆行驶证的除外；</w:t>
      </w:r>
    </w:p>
    <w:p>
      <w:pPr>
        <w:spacing w:line="530" w:lineRule="exact"/>
        <w:ind w:firstLine="640" w:firstLineChars="200"/>
        <w:rPr>
          <w:rFonts w:eastAsia="仿宋_GB2312"/>
          <w:kern w:val="0"/>
          <w:sz w:val="32"/>
          <w:szCs w:val="32"/>
        </w:rPr>
      </w:pPr>
      <w:r>
        <w:rPr>
          <w:rFonts w:hint="eastAsia" w:eastAsia="仿宋_GB2312"/>
          <w:kern w:val="0"/>
          <w:sz w:val="32"/>
          <w:szCs w:val="32"/>
        </w:rPr>
        <w:t>（二）为未提供从业资格证的人员驾驶的货运车辆</w:t>
      </w:r>
      <w:r>
        <w:rPr>
          <w:rFonts w:eastAsia="仿宋_GB2312"/>
          <w:kern w:val="0"/>
          <w:sz w:val="32"/>
          <w:szCs w:val="32"/>
        </w:rPr>
        <w:t>装载配载货物</w:t>
      </w:r>
      <w:r>
        <w:rPr>
          <w:rFonts w:hint="eastAsia" w:eastAsia="仿宋_GB2312"/>
          <w:kern w:val="0"/>
          <w:sz w:val="32"/>
          <w:szCs w:val="32"/>
        </w:rPr>
        <w:t>（使用总质量4500千克及以下普通货运车辆的驾驶人员除外）</w:t>
      </w:r>
      <w:r>
        <w:rPr>
          <w:rFonts w:eastAsia="仿宋_GB2312"/>
          <w:kern w:val="0"/>
          <w:sz w:val="32"/>
          <w:szCs w:val="32"/>
        </w:rPr>
        <w:t>；</w:t>
      </w:r>
    </w:p>
    <w:p>
      <w:pPr>
        <w:spacing w:line="530" w:lineRule="exact"/>
        <w:ind w:firstLine="640" w:firstLineChars="200"/>
        <w:rPr>
          <w:rFonts w:eastAsia="仿宋_GB2312"/>
          <w:kern w:val="0"/>
          <w:sz w:val="32"/>
          <w:szCs w:val="32"/>
        </w:rPr>
      </w:pPr>
      <w:r>
        <w:rPr>
          <w:rFonts w:eastAsia="仿宋_GB2312"/>
          <w:kern w:val="0"/>
          <w:sz w:val="32"/>
          <w:szCs w:val="32"/>
        </w:rPr>
        <w:t>（</w:t>
      </w:r>
      <w:r>
        <w:rPr>
          <w:rFonts w:hint="eastAsia" w:eastAsia="仿宋_GB2312"/>
          <w:kern w:val="0"/>
          <w:sz w:val="32"/>
          <w:szCs w:val="32"/>
        </w:rPr>
        <w:t>三</w:t>
      </w:r>
      <w:r>
        <w:rPr>
          <w:rFonts w:eastAsia="仿宋_GB2312"/>
          <w:kern w:val="0"/>
          <w:sz w:val="32"/>
          <w:szCs w:val="32"/>
        </w:rPr>
        <w:t>）</w:t>
      </w:r>
      <w:r>
        <w:rPr>
          <w:rFonts w:hint="eastAsia" w:eastAsia="仿宋_GB2312"/>
          <w:kern w:val="0"/>
          <w:sz w:val="32"/>
          <w:szCs w:val="32"/>
        </w:rPr>
        <w:t>为</w:t>
      </w:r>
      <w:r>
        <w:rPr>
          <w:rFonts w:eastAsia="仿宋_GB2312"/>
          <w:kern w:val="0"/>
          <w:sz w:val="32"/>
          <w:szCs w:val="32"/>
        </w:rPr>
        <w:t>无车辆营运证的货运车辆装载配载货物</w:t>
      </w:r>
      <w:r>
        <w:rPr>
          <w:rFonts w:hint="eastAsia" w:eastAsia="仿宋_GB2312"/>
          <w:kern w:val="0"/>
          <w:sz w:val="32"/>
          <w:szCs w:val="32"/>
        </w:rPr>
        <w:t>（使用总质量4500千克及以下普通货运车辆的驾驶人员除外）；</w:t>
      </w:r>
    </w:p>
    <w:p>
      <w:pPr>
        <w:spacing w:line="530" w:lineRule="exact"/>
        <w:ind w:firstLine="640" w:firstLineChars="200"/>
        <w:rPr>
          <w:rFonts w:eastAsia="仿宋_GB2312"/>
          <w:kern w:val="0"/>
          <w:sz w:val="32"/>
          <w:szCs w:val="32"/>
        </w:rPr>
      </w:pPr>
      <w:r>
        <w:rPr>
          <w:rFonts w:eastAsia="仿宋_GB2312"/>
          <w:kern w:val="0"/>
          <w:sz w:val="32"/>
          <w:szCs w:val="32"/>
        </w:rPr>
        <w:t>（</w:t>
      </w:r>
      <w:r>
        <w:rPr>
          <w:rFonts w:hint="eastAsia" w:eastAsia="仿宋_GB2312"/>
          <w:kern w:val="0"/>
          <w:sz w:val="32"/>
          <w:szCs w:val="32"/>
        </w:rPr>
        <w:t>四</w:t>
      </w:r>
      <w:r>
        <w:rPr>
          <w:rFonts w:eastAsia="仿宋_GB2312"/>
          <w:kern w:val="0"/>
          <w:sz w:val="32"/>
          <w:szCs w:val="32"/>
        </w:rPr>
        <w:t>）</w:t>
      </w:r>
      <w:r>
        <w:rPr>
          <w:rFonts w:hint="eastAsia" w:eastAsia="仿宋_GB2312"/>
          <w:kern w:val="0"/>
          <w:sz w:val="32"/>
          <w:szCs w:val="32"/>
        </w:rPr>
        <w:t>超限装载</w:t>
      </w:r>
      <w:r>
        <w:rPr>
          <w:rFonts w:eastAsia="仿宋_GB2312"/>
          <w:kern w:val="0"/>
          <w:sz w:val="32"/>
          <w:szCs w:val="32"/>
        </w:rPr>
        <w:t>货物或者放行超限货运车辆；</w:t>
      </w:r>
    </w:p>
    <w:p>
      <w:pPr>
        <w:spacing w:line="530" w:lineRule="exact"/>
        <w:ind w:firstLine="640" w:firstLineChars="200"/>
        <w:rPr>
          <w:rFonts w:eastAsia="仿宋_GB2312"/>
          <w:kern w:val="0"/>
          <w:sz w:val="32"/>
          <w:szCs w:val="32"/>
        </w:rPr>
      </w:pPr>
      <w:r>
        <w:rPr>
          <w:rFonts w:hint="eastAsia" w:eastAsia="仿宋_GB2312"/>
          <w:kern w:val="0"/>
          <w:sz w:val="32"/>
          <w:szCs w:val="32"/>
        </w:rPr>
        <w:t>（五）</w:t>
      </w:r>
      <w:r>
        <w:rPr>
          <w:rFonts w:eastAsia="仿宋_GB2312"/>
          <w:kern w:val="0"/>
          <w:sz w:val="32"/>
          <w:szCs w:val="32"/>
        </w:rPr>
        <w:t>为超限货运车辆提供虚假装载配载证明。</w:t>
      </w:r>
    </w:p>
    <w:p>
      <w:pPr>
        <w:spacing w:line="530" w:lineRule="exact"/>
        <w:ind w:firstLine="640" w:firstLineChars="200"/>
        <w:rPr>
          <w:rFonts w:eastAsia="仿宋_GB2312"/>
          <w:kern w:val="0"/>
          <w:sz w:val="32"/>
          <w:szCs w:val="32"/>
        </w:rPr>
      </w:pPr>
      <w:r>
        <w:rPr>
          <w:rFonts w:eastAsia="仿宋_GB2312"/>
          <w:kern w:val="0"/>
          <w:sz w:val="32"/>
          <w:szCs w:val="32"/>
        </w:rPr>
        <w:t>货物运输经营者不得有下列行为:</w:t>
      </w:r>
    </w:p>
    <w:p>
      <w:pPr>
        <w:spacing w:line="530" w:lineRule="exact"/>
        <w:ind w:firstLine="640" w:firstLineChars="200"/>
        <w:rPr>
          <w:rFonts w:eastAsia="仿宋_GB2312"/>
          <w:kern w:val="0"/>
          <w:sz w:val="32"/>
          <w:szCs w:val="32"/>
        </w:rPr>
      </w:pPr>
      <w:r>
        <w:rPr>
          <w:rFonts w:eastAsia="仿宋_GB2312"/>
          <w:kern w:val="0"/>
          <w:sz w:val="32"/>
          <w:szCs w:val="32"/>
        </w:rPr>
        <w:t>（</w:t>
      </w:r>
      <w:r>
        <w:rPr>
          <w:rFonts w:hint="eastAsia" w:eastAsia="仿宋_GB2312"/>
          <w:kern w:val="0"/>
          <w:sz w:val="32"/>
          <w:szCs w:val="32"/>
        </w:rPr>
        <w:t>一</w:t>
      </w:r>
      <w:r>
        <w:rPr>
          <w:rFonts w:eastAsia="仿宋_GB2312"/>
          <w:kern w:val="0"/>
          <w:sz w:val="32"/>
          <w:szCs w:val="32"/>
        </w:rPr>
        <w:t>）聘用无从业资格证或者从业资格证失效的货运车辆驾驶人从事货物运输</w:t>
      </w:r>
      <w:r>
        <w:rPr>
          <w:rFonts w:hint="eastAsia" w:eastAsia="仿宋_GB2312"/>
          <w:kern w:val="0"/>
          <w:sz w:val="32"/>
          <w:szCs w:val="32"/>
        </w:rPr>
        <w:t>（使用总质量4500千克及以下普通货运车辆的驾驶人员除外）</w:t>
      </w:r>
      <w:r>
        <w:rPr>
          <w:rFonts w:eastAsia="仿宋_GB2312"/>
          <w:kern w:val="0"/>
          <w:sz w:val="32"/>
          <w:szCs w:val="32"/>
        </w:rPr>
        <w:t>；</w:t>
      </w:r>
    </w:p>
    <w:p>
      <w:pPr>
        <w:spacing w:line="530" w:lineRule="exact"/>
        <w:ind w:firstLine="640" w:firstLineChars="200"/>
        <w:rPr>
          <w:rFonts w:eastAsia="仿宋_GB2312"/>
          <w:kern w:val="0"/>
          <w:sz w:val="32"/>
          <w:szCs w:val="32"/>
        </w:rPr>
      </w:pPr>
      <w:r>
        <w:rPr>
          <w:rFonts w:eastAsia="仿宋_GB2312"/>
          <w:kern w:val="0"/>
          <w:sz w:val="32"/>
          <w:szCs w:val="32"/>
        </w:rPr>
        <w:t>（</w:t>
      </w:r>
      <w:r>
        <w:rPr>
          <w:rFonts w:hint="eastAsia" w:eastAsia="仿宋_GB2312"/>
          <w:kern w:val="0"/>
          <w:sz w:val="32"/>
          <w:szCs w:val="32"/>
        </w:rPr>
        <w:t>二</w:t>
      </w:r>
      <w:r>
        <w:rPr>
          <w:rFonts w:eastAsia="仿宋_GB2312"/>
          <w:kern w:val="0"/>
          <w:sz w:val="32"/>
          <w:szCs w:val="32"/>
        </w:rPr>
        <w:t>）指使、强令货运车辆驾驶人超限运输货物。</w:t>
      </w:r>
    </w:p>
    <w:p>
      <w:pPr>
        <w:spacing w:line="530" w:lineRule="exact"/>
        <w:ind w:firstLine="640" w:firstLineChars="200"/>
        <w:rPr>
          <w:rFonts w:eastAsia="仿宋_GB2312"/>
          <w:bCs/>
          <w:sz w:val="32"/>
          <w:szCs w:val="32"/>
        </w:rPr>
      </w:pPr>
      <w:r>
        <w:rPr>
          <w:rFonts w:eastAsia="黑体"/>
          <w:bCs/>
          <w:kern w:val="0"/>
          <w:sz w:val="32"/>
          <w:szCs w:val="32"/>
        </w:rPr>
        <w:t xml:space="preserve">第十一条 </w:t>
      </w:r>
      <w:r>
        <w:rPr>
          <w:rFonts w:eastAsia="仿宋_GB2312"/>
          <w:bCs/>
          <w:kern w:val="0"/>
          <w:sz w:val="32"/>
          <w:szCs w:val="32"/>
        </w:rPr>
        <w:t>货运车辆驾驶人运输货物</w:t>
      </w:r>
      <w:r>
        <w:rPr>
          <w:rFonts w:eastAsia="仿宋_GB2312"/>
          <w:bCs/>
          <w:sz w:val="32"/>
          <w:szCs w:val="32"/>
        </w:rPr>
        <w:t>应当按照规定随车携带货物装载证明</w:t>
      </w:r>
      <w:r>
        <w:rPr>
          <w:rFonts w:eastAsia="仿宋_GB2312"/>
          <w:bCs/>
          <w:kern w:val="0"/>
          <w:sz w:val="32"/>
          <w:szCs w:val="32"/>
        </w:rPr>
        <w:t>。</w:t>
      </w:r>
    </w:p>
    <w:p>
      <w:pPr>
        <w:spacing w:line="530" w:lineRule="exact"/>
        <w:ind w:firstLine="640" w:firstLineChars="200"/>
        <w:rPr>
          <w:rFonts w:eastAsia="仿宋_GB2312"/>
          <w:kern w:val="0"/>
          <w:sz w:val="32"/>
          <w:szCs w:val="32"/>
        </w:rPr>
      </w:pPr>
      <w:r>
        <w:rPr>
          <w:rFonts w:eastAsia="仿宋_GB2312"/>
          <w:kern w:val="0"/>
          <w:sz w:val="32"/>
          <w:szCs w:val="32"/>
        </w:rPr>
        <w:t>驾驶人不得驾驶擅自改装或者拼装的货运车辆。</w:t>
      </w:r>
    </w:p>
    <w:p>
      <w:pPr>
        <w:spacing w:line="530" w:lineRule="exact"/>
        <w:ind w:firstLine="640" w:firstLineChars="200"/>
        <w:rPr>
          <w:rFonts w:eastAsia="仿宋_GB2312"/>
          <w:kern w:val="0"/>
          <w:sz w:val="32"/>
          <w:szCs w:val="32"/>
        </w:rPr>
      </w:pPr>
      <w:r>
        <w:rPr>
          <w:rFonts w:eastAsia="黑体"/>
          <w:bCs/>
          <w:kern w:val="0"/>
          <w:sz w:val="32"/>
          <w:szCs w:val="32"/>
        </w:rPr>
        <w:t xml:space="preserve">第十二条 </w:t>
      </w:r>
      <w:r>
        <w:rPr>
          <w:rFonts w:eastAsia="仿宋_GB2312"/>
          <w:kern w:val="0"/>
          <w:sz w:val="32"/>
          <w:szCs w:val="32"/>
        </w:rPr>
        <w:t>鼓励引导货运车辆所有人安装使用符合国家标准的超载阻断技术设备。</w:t>
      </w:r>
    </w:p>
    <w:p>
      <w:pPr>
        <w:adjustRightInd w:val="0"/>
        <w:snapToGrid w:val="0"/>
        <w:spacing w:line="530" w:lineRule="exact"/>
        <w:ind w:firstLine="3200" w:firstLineChars="1000"/>
        <w:rPr>
          <w:rFonts w:eastAsia="黑体"/>
          <w:bCs/>
          <w:kern w:val="0"/>
          <w:sz w:val="32"/>
          <w:szCs w:val="32"/>
        </w:rPr>
      </w:pPr>
    </w:p>
    <w:p>
      <w:pPr>
        <w:adjustRightInd w:val="0"/>
        <w:snapToGrid w:val="0"/>
        <w:spacing w:line="530" w:lineRule="exact"/>
        <w:ind w:firstLine="3200" w:firstLineChars="1000"/>
        <w:rPr>
          <w:rFonts w:eastAsia="黑体"/>
          <w:bCs/>
          <w:kern w:val="0"/>
          <w:sz w:val="32"/>
          <w:szCs w:val="32"/>
        </w:rPr>
      </w:pPr>
      <w:r>
        <w:rPr>
          <w:rFonts w:eastAsia="黑体"/>
          <w:bCs/>
          <w:kern w:val="0"/>
          <w:sz w:val="32"/>
          <w:szCs w:val="32"/>
        </w:rPr>
        <w:t>第三章 路面治理</w:t>
      </w:r>
    </w:p>
    <w:p>
      <w:pPr>
        <w:spacing w:line="530" w:lineRule="exact"/>
        <w:ind w:firstLine="640" w:firstLineChars="200"/>
        <w:rPr>
          <w:rFonts w:eastAsia="仿宋_GB2312"/>
          <w:bCs/>
          <w:kern w:val="0"/>
          <w:sz w:val="32"/>
          <w:szCs w:val="32"/>
        </w:rPr>
      </w:pPr>
      <w:r>
        <w:rPr>
          <w:rFonts w:eastAsia="黑体"/>
          <w:bCs/>
          <w:kern w:val="0"/>
          <w:sz w:val="32"/>
          <w:szCs w:val="32"/>
        </w:rPr>
        <w:t xml:space="preserve">第十三条 </w:t>
      </w:r>
      <w:r>
        <w:rPr>
          <w:rFonts w:eastAsia="仿宋_GB2312"/>
          <w:bCs/>
          <w:kern w:val="0"/>
          <w:sz w:val="32"/>
          <w:szCs w:val="32"/>
        </w:rPr>
        <w:t>货运车辆不得超限超载运输；但是，运载不可解体物品确需超限运输的，应当依法办理超限运输许可。运载不可解体的超限物品的，应当按照指定的时间、路线、时速行驶，并悬挂明显标志。</w:t>
      </w:r>
    </w:p>
    <w:p>
      <w:pPr>
        <w:spacing w:line="530" w:lineRule="exact"/>
        <w:ind w:firstLine="640" w:firstLineChars="200"/>
        <w:rPr>
          <w:rFonts w:eastAsia="仿宋_GB2312"/>
          <w:bCs/>
          <w:kern w:val="0"/>
          <w:sz w:val="32"/>
          <w:szCs w:val="32"/>
        </w:rPr>
      </w:pPr>
      <w:r>
        <w:rPr>
          <w:rFonts w:eastAsia="仿宋_GB2312"/>
          <w:bCs/>
          <w:kern w:val="0"/>
          <w:sz w:val="32"/>
          <w:szCs w:val="32"/>
        </w:rPr>
        <w:t>对货运车辆进行超限超载检查，可以采取公路超限检测站检测、流动检测、不停车超限检测等方式。</w:t>
      </w:r>
    </w:p>
    <w:p>
      <w:pPr>
        <w:pStyle w:val="2"/>
        <w:spacing w:line="530" w:lineRule="exact"/>
        <w:rPr>
          <w:rFonts w:ascii="Times New Roman" w:hAnsi="Times New Roman" w:eastAsia="仿宋_GB2312" w:cs="Times New Roman"/>
          <w:kern w:val="0"/>
          <w:sz w:val="32"/>
          <w:szCs w:val="32"/>
          <w:lang w:val="en-US" w:eastAsia="zh-CN" w:bidi="ar-SA"/>
        </w:rPr>
      </w:pPr>
      <w:r>
        <w:rPr>
          <w:rFonts w:hint="eastAsia" w:ascii="仿宋_GB2312" w:eastAsia="仿宋_GB2312"/>
          <w:sz w:val="32"/>
          <w:szCs w:val="32"/>
        </w:rPr>
        <w:t xml:space="preserve">   </w:t>
      </w:r>
      <w:r>
        <w:rPr>
          <w:rFonts w:hint="eastAsia" w:ascii="Times New Roman" w:hAnsi="Times New Roman" w:eastAsia="仿宋_GB2312" w:cs="Times New Roman"/>
          <w:kern w:val="0"/>
          <w:sz w:val="32"/>
          <w:szCs w:val="32"/>
          <w:lang w:val="en-US" w:eastAsia="zh-CN" w:bidi="ar-SA"/>
        </w:rPr>
        <w:t xml:space="preserve"> 交通运输主管部门的综合行政执法机构发现未经许可擅自超限运输的，可以扣留车辆，责令驾驶人消除违法行为后方可放行。</w:t>
      </w:r>
    </w:p>
    <w:p>
      <w:pPr>
        <w:spacing w:line="530" w:lineRule="exact"/>
        <w:ind w:firstLine="640" w:firstLineChars="200"/>
        <w:rPr>
          <w:rFonts w:eastAsia="仿宋_GB2312"/>
          <w:kern w:val="0"/>
          <w:sz w:val="32"/>
          <w:szCs w:val="32"/>
        </w:rPr>
      </w:pPr>
      <w:r>
        <w:rPr>
          <w:rFonts w:eastAsia="黑体"/>
          <w:bCs/>
          <w:kern w:val="0"/>
          <w:sz w:val="32"/>
          <w:szCs w:val="32"/>
        </w:rPr>
        <w:t xml:space="preserve">第十四条 </w:t>
      </w:r>
      <w:r>
        <w:rPr>
          <w:rFonts w:eastAsia="仿宋_GB2312"/>
          <w:kern w:val="0"/>
          <w:sz w:val="32"/>
          <w:szCs w:val="32"/>
        </w:rPr>
        <w:t>按照要求设置的公</w:t>
      </w:r>
      <w:r>
        <w:rPr>
          <w:rFonts w:hint="eastAsia" w:ascii="Times New Roman" w:hAnsi="Times New Roman" w:eastAsia="仿宋_GB2312" w:cs="Times New Roman"/>
          <w:kern w:val="0"/>
          <w:sz w:val="32"/>
          <w:szCs w:val="32"/>
          <w:lang w:val="en-US" w:eastAsia="zh-CN" w:bidi="ar-SA"/>
        </w:rPr>
        <w:t>路超限检测站，交通运输主管部门的综合行政执法机构和公安机关交通管理等部门应当按照规定派出执法人员驻站联合执法。交通运输主管部门的综合行政执法机构应当在公路</w:t>
      </w:r>
      <w:r>
        <w:rPr>
          <w:rFonts w:eastAsia="仿宋_GB2312"/>
          <w:kern w:val="0"/>
          <w:sz w:val="32"/>
          <w:szCs w:val="32"/>
        </w:rPr>
        <w:t>超限检测站检测路段设置货运车辆引导车道及电子监控设备。</w:t>
      </w:r>
    </w:p>
    <w:p>
      <w:pPr>
        <w:spacing w:line="530" w:lineRule="exact"/>
        <w:ind w:firstLine="640" w:firstLineChars="200"/>
        <w:rPr>
          <w:rFonts w:eastAsia="仿宋_GB2312"/>
          <w:kern w:val="0"/>
          <w:sz w:val="32"/>
          <w:szCs w:val="32"/>
        </w:rPr>
      </w:pPr>
      <w:r>
        <w:rPr>
          <w:rFonts w:eastAsia="仿宋_GB2312"/>
          <w:kern w:val="0"/>
          <w:sz w:val="32"/>
          <w:szCs w:val="32"/>
        </w:rPr>
        <w:t>驾驶人应当按照规定行驶，接受货运车辆超限超载检测。驾驶人不得以故意堵塞公路超限检测站通行车道、强行通过公路超限检测站或者锁闭车门、车窗,</w:t>
      </w:r>
      <w:r>
        <w:rPr>
          <w:rFonts w:eastAsia="仿宋_GB2312"/>
          <w:spacing w:val="-2"/>
          <w:sz w:val="32"/>
          <w:szCs w:val="32"/>
        </w:rPr>
        <w:t>安装影响检测装置</w:t>
      </w:r>
      <w:r>
        <w:rPr>
          <w:rFonts w:eastAsia="仿宋_GB2312"/>
          <w:kern w:val="0"/>
          <w:sz w:val="32"/>
          <w:szCs w:val="32"/>
        </w:rPr>
        <w:t>等方式逃避检测、扰乱检测秩序。</w:t>
      </w:r>
    </w:p>
    <w:p>
      <w:pPr>
        <w:spacing w:line="530" w:lineRule="exact"/>
        <w:ind w:firstLine="640" w:firstLineChars="200"/>
        <w:rPr>
          <w:rFonts w:eastAsia="仿宋_GB2312"/>
          <w:sz w:val="32"/>
          <w:szCs w:val="32"/>
        </w:rPr>
      </w:pPr>
      <w:r>
        <w:rPr>
          <w:rFonts w:eastAsia="黑体"/>
          <w:bCs/>
          <w:kern w:val="0"/>
          <w:sz w:val="32"/>
          <w:szCs w:val="32"/>
        </w:rPr>
        <w:t xml:space="preserve">第十五条 </w:t>
      </w:r>
      <w:r>
        <w:rPr>
          <w:rFonts w:hint="eastAsia" w:ascii="Times New Roman" w:hAnsi="Times New Roman" w:eastAsia="仿宋_GB2312" w:cs="Times New Roman"/>
          <w:kern w:val="0"/>
          <w:sz w:val="32"/>
          <w:szCs w:val="32"/>
          <w:lang w:val="en-US" w:eastAsia="zh-CN" w:bidi="ar-SA"/>
        </w:rPr>
        <w:t>交通运输主管部门的综合行政执法机构和公安机关交通管理部门可以在公路或者公路出入口、车辆停放场所对货运车辆避站绕行</w:t>
      </w:r>
      <w:r>
        <w:rPr>
          <w:rFonts w:eastAsia="仿宋_GB2312"/>
          <w:bCs/>
          <w:kern w:val="0"/>
          <w:sz w:val="32"/>
          <w:szCs w:val="32"/>
        </w:rPr>
        <w:t>、短途驳载等行为</w:t>
      </w:r>
      <w:r>
        <w:rPr>
          <w:rFonts w:eastAsia="仿宋_GB2312"/>
          <w:sz w:val="32"/>
          <w:szCs w:val="32"/>
        </w:rPr>
        <w:t>开展流动检测。</w:t>
      </w:r>
    </w:p>
    <w:p>
      <w:pPr>
        <w:spacing w:line="530" w:lineRule="exact"/>
        <w:ind w:firstLine="640" w:firstLineChars="200"/>
        <w:rPr>
          <w:rFonts w:eastAsia="仿宋_GB2312"/>
          <w:bCs/>
          <w:kern w:val="0"/>
          <w:sz w:val="32"/>
          <w:szCs w:val="32"/>
        </w:rPr>
      </w:pPr>
      <w:r>
        <w:rPr>
          <w:rFonts w:eastAsia="仿宋_GB2312"/>
          <w:bCs/>
          <w:kern w:val="0"/>
          <w:sz w:val="32"/>
          <w:szCs w:val="32"/>
        </w:rPr>
        <w:t>经流动检测的超限超载货运车辆应当就近引导至公路超限检测站或者向社会公示的执法场所处理。</w:t>
      </w:r>
    </w:p>
    <w:p>
      <w:pPr>
        <w:spacing w:line="530" w:lineRule="exact"/>
        <w:ind w:firstLine="640" w:firstLineChars="200"/>
        <w:rPr>
          <w:rFonts w:eastAsia="仿宋_GB2312"/>
          <w:kern w:val="0"/>
          <w:sz w:val="32"/>
          <w:szCs w:val="32"/>
        </w:rPr>
      </w:pPr>
      <w:r>
        <w:rPr>
          <w:rFonts w:eastAsia="黑体"/>
          <w:bCs/>
          <w:kern w:val="0"/>
          <w:sz w:val="32"/>
          <w:szCs w:val="32"/>
        </w:rPr>
        <w:t xml:space="preserve">第十六条 </w:t>
      </w:r>
      <w:r>
        <w:rPr>
          <w:rFonts w:hint="eastAsia" w:ascii="Times New Roman" w:hAnsi="Times New Roman" w:eastAsia="仿宋_GB2312" w:cs="Times New Roman"/>
          <w:kern w:val="0"/>
          <w:sz w:val="32"/>
          <w:szCs w:val="32"/>
          <w:lang w:val="en-US" w:eastAsia="zh-CN" w:bidi="ar-SA"/>
        </w:rPr>
        <w:t>交通运输主管部门的综合行政执法机构应当在货物运输主要通道、重要桥梁入口以及货物运输流量较大的路段和节点，设置不停车超限检测技术监控设备，自动检测、拍摄和记录行驶中货运车辆的车货总质量、车辆图像等信息，并同步建设电子抓</w:t>
      </w:r>
      <w:r>
        <w:rPr>
          <w:rFonts w:eastAsia="仿宋_GB2312"/>
          <w:kern w:val="0"/>
          <w:sz w:val="32"/>
          <w:szCs w:val="32"/>
        </w:rPr>
        <w:t>拍系统，监管货运车辆行驶行为。</w:t>
      </w:r>
    </w:p>
    <w:p>
      <w:pPr>
        <w:spacing w:line="530" w:lineRule="exact"/>
        <w:ind w:firstLine="640" w:firstLineChars="200"/>
        <w:rPr>
          <w:rFonts w:eastAsia="仿宋_GB2312"/>
          <w:kern w:val="0"/>
          <w:sz w:val="32"/>
          <w:szCs w:val="32"/>
        </w:rPr>
      </w:pPr>
      <w:r>
        <w:rPr>
          <w:rFonts w:hint="eastAsia" w:ascii="Times New Roman" w:hAnsi="Times New Roman" w:eastAsia="仿宋_GB2312" w:cs="Times New Roman"/>
          <w:kern w:val="0"/>
          <w:sz w:val="32"/>
          <w:szCs w:val="32"/>
          <w:lang w:val="en-US" w:eastAsia="zh-CN" w:bidi="ar-SA"/>
        </w:rPr>
        <w:t>交通运输主管部门的综合行政执法机构应当将检定合格的不停车超限检测技术监控设备于投入使用前三十日内，在当地主要</w:t>
      </w:r>
      <w:r>
        <w:rPr>
          <w:rFonts w:eastAsia="仿宋_GB2312"/>
          <w:kern w:val="0"/>
          <w:sz w:val="32"/>
          <w:szCs w:val="32"/>
        </w:rPr>
        <w:t>报纸、网站公告位置，并在公路醒目处设置告示标志。</w:t>
      </w:r>
    </w:p>
    <w:p>
      <w:pPr>
        <w:spacing w:line="530" w:lineRule="exact"/>
        <w:ind w:firstLine="640" w:firstLineChars="200"/>
        <w:rPr>
          <w:rFonts w:eastAsia="仿宋_GB2312"/>
          <w:kern w:val="0"/>
          <w:sz w:val="32"/>
          <w:szCs w:val="32"/>
        </w:rPr>
      </w:pPr>
      <w:r>
        <w:rPr>
          <w:rFonts w:eastAsia="黑体"/>
          <w:bCs/>
          <w:kern w:val="0"/>
          <w:sz w:val="32"/>
          <w:szCs w:val="32"/>
        </w:rPr>
        <w:t xml:space="preserve">第十七条 </w:t>
      </w:r>
      <w:r>
        <w:rPr>
          <w:rFonts w:eastAsia="仿宋_GB2312"/>
          <w:kern w:val="0"/>
          <w:sz w:val="32"/>
          <w:szCs w:val="32"/>
        </w:rPr>
        <w:t>货运车辆途经不停车超限检测技术监控区域时，应当按照交通标志标线行驶，禁止下列行为：</w:t>
      </w:r>
    </w:p>
    <w:p>
      <w:pPr>
        <w:spacing w:line="530" w:lineRule="exact"/>
        <w:ind w:firstLine="640" w:firstLineChars="200"/>
        <w:rPr>
          <w:rFonts w:eastAsia="仿宋_GB2312"/>
          <w:kern w:val="0"/>
          <w:sz w:val="32"/>
          <w:szCs w:val="32"/>
        </w:rPr>
      </w:pPr>
      <w:r>
        <w:rPr>
          <w:rFonts w:eastAsia="仿宋_GB2312"/>
          <w:kern w:val="0"/>
          <w:sz w:val="32"/>
          <w:szCs w:val="32"/>
        </w:rPr>
        <w:t>（一）</w:t>
      </w:r>
      <w:r>
        <w:rPr>
          <w:rFonts w:eastAsia="仿宋_GB2312"/>
          <w:spacing w:val="-2"/>
          <w:sz w:val="32"/>
          <w:szCs w:val="32"/>
        </w:rPr>
        <w:t>故意</w:t>
      </w:r>
      <w:r>
        <w:rPr>
          <w:rFonts w:eastAsia="仿宋_GB2312"/>
          <w:kern w:val="0"/>
          <w:sz w:val="32"/>
          <w:szCs w:val="32"/>
        </w:rPr>
        <w:t>采取超低速行驶、急刹车、多车辆并排、首尾紧随或者偏离称重装置等方式逃避检测；</w:t>
      </w:r>
    </w:p>
    <w:p>
      <w:pPr>
        <w:spacing w:line="530" w:lineRule="exact"/>
        <w:ind w:firstLine="640" w:firstLineChars="200"/>
        <w:rPr>
          <w:rFonts w:eastAsia="仿宋_GB2312"/>
          <w:kern w:val="0"/>
          <w:sz w:val="32"/>
          <w:szCs w:val="32"/>
        </w:rPr>
      </w:pPr>
      <w:r>
        <w:rPr>
          <w:rFonts w:eastAsia="仿宋_GB2312"/>
          <w:kern w:val="0"/>
          <w:sz w:val="32"/>
          <w:szCs w:val="32"/>
        </w:rPr>
        <w:t>（二）采取跨道、压线、故意遮挡、污损或者使用伪造的机动车号牌等方式逃避检测。</w:t>
      </w:r>
    </w:p>
    <w:p>
      <w:pPr>
        <w:spacing w:line="530" w:lineRule="exact"/>
        <w:ind w:firstLine="640" w:firstLineChars="200"/>
        <w:rPr>
          <w:rFonts w:hint="eastAsia" w:ascii="Times New Roman" w:hAnsi="Times New Roman" w:eastAsia="仿宋_GB2312" w:cs="Times New Roman"/>
          <w:kern w:val="0"/>
          <w:sz w:val="32"/>
          <w:szCs w:val="32"/>
          <w:lang w:val="en-US" w:eastAsia="zh-CN" w:bidi="ar-SA"/>
        </w:rPr>
      </w:pPr>
      <w:r>
        <w:rPr>
          <w:rFonts w:eastAsia="黑体"/>
          <w:bCs/>
          <w:kern w:val="0"/>
          <w:sz w:val="32"/>
          <w:szCs w:val="32"/>
        </w:rPr>
        <w:t xml:space="preserve">第十八条 </w:t>
      </w:r>
      <w:r>
        <w:rPr>
          <w:rFonts w:eastAsia="仿宋_GB2312"/>
          <w:kern w:val="0"/>
          <w:sz w:val="32"/>
          <w:szCs w:val="32"/>
        </w:rPr>
        <w:t>货运车辆驾驶人应当根据不停车超限检测技术监控设备提示，到就近的公路超</w:t>
      </w:r>
      <w:r>
        <w:rPr>
          <w:rFonts w:hint="eastAsia" w:ascii="Times New Roman" w:hAnsi="Times New Roman" w:eastAsia="仿宋_GB2312" w:cs="Times New Roman"/>
          <w:kern w:val="0"/>
          <w:sz w:val="32"/>
          <w:szCs w:val="32"/>
          <w:lang w:val="en-US" w:eastAsia="zh-CN" w:bidi="ar-SA"/>
        </w:rPr>
        <w:t>限检测站接受交通运输主管部门的综合行政执法机构调查处理。交通运输主管部门的综合行政执法机构应当以书面通知、电话、微信或者短信等方式告知货运车辆所有人或者货运车辆驾驶人。货运车辆所有人或者货运车辆驾驶人应当自接到告知通知之日起三十日内，到违法行为发生地交通运输主管部门的综合行政执法机构接受处理。</w:t>
      </w:r>
    </w:p>
    <w:p>
      <w:pPr>
        <w:spacing w:line="530" w:lineRule="exact"/>
        <w:ind w:firstLine="640" w:firstLineChars="200"/>
        <w:rPr>
          <w:rFonts w:eastAsia="仿宋_GB2312"/>
          <w:bCs/>
          <w:kern w:val="0"/>
          <w:sz w:val="32"/>
          <w:szCs w:val="32"/>
        </w:rPr>
      </w:pPr>
      <w:r>
        <w:rPr>
          <w:rFonts w:hint="eastAsia" w:ascii="Times New Roman" w:hAnsi="Times New Roman" w:eastAsia="仿宋_GB2312" w:cs="Times New Roman"/>
          <w:kern w:val="0"/>
          <w:sz w:val="32"/>
          <w:szCs w:val="32"/>
          <w:lang w:val="en-US" w:eastAsia="zh-CN" w:bidi="ar-SA"/>
        </w:rPr>
        <w:t>交通运输主管部门的综合行政执法机构和公安</w:t>
      </w:r>
      <w:r>
        <w:rPr>
          <w:rFonts w:eastAsia="仿宋_GB2312"/>
          <w:bCs/>
          <w:kern w:val="0"/>
          <w:sz w:val="32"/>
          <w:szCs w:val="32"/>
        </w:rPr>
        <w:t>机关交通管理部门应当分别对不停车超限检测技术监控设备检测记录的信息、电子抓拍系统记录的交通违法信息进行审核。经审核确认的货运车辆超限超载、交通违法等信息作为行政处罚的证据。</w:t>
      </w:r>
    </w:p>
    <w:p>
      <w:pPr>
        <w:spacing w:line="530" w:lineRule="exact"/>
        <w:ind w:firstLine="640" w:firstLineChars="200"/>
        <w:rPr>
          <w:rFonts w:eastAsia="仿宋_GB2312"/>
          <w:kern w:val="0"/>
          <w:sz w:val="32"/>
          <w:szCs w:val="32"/>
        </w:rPr>
      </w:pPr>
      <w:r>
        <w:rPr>
          <w:rFonts w:eastAsia="仿宋_GB2312"/>
          <w:kern w:val="0"/>
          <w:sz w:val="32"/>
          <w:szCs w:val="32"/>
        </w:rPr>
        <w:t>公安机关交通管理部门、机动车安全技术检验机构在受理货运车辆变更登记或者安全技术检验申请时，发现货运车辆存在超限超载信息且未接受处理的，应当按照规定告知申请人及时接受处理。</w:t>
      </w:r>
    </w:p>
    <w:p>
      <w:pPr>
        <w:spacing w:line="530" w:lineRule="exact"/>
        <w:ind w:firstLine="640" w:firstLineChars="200"/>
        <w:rPr>
          <w:rFonts w:hint="eastAsia" w:ascii="Times New Roman" w:hAnsi="Times New Roman" w:eastAsia="仿宋_GB2312" w:cs="Times New Roman"/>
          <w:kern w:val="0"/>
          <w:sz w:val="32"/>
          <w:szCs w:val="32"/>
          <w:lang w:val="en-US" w:eastAsia="zh-CN" w:bidi="ar-SA"/>
        </w:rPr>
      </w:pPr>
      <w:r>
        <w:rPr>
          <w:rFonts w:eastAsia="黑体"/>
          <w:bCs/>
          <w:kern w:val="0"/>
          <w:sz w:val="32"/>
          <w:szCs w:val="32"/>
        </w:rPr>
        <w:t xml:space="preserve">第十九条 </w:t>
      </w:r>
      <w:r>
        <w:rPr>
          <w:rFonts w:eastAsia="仿宋_GB2312"/>
          <w:kern w:val="0"/>
          <w:sz w:val="32"/>
          <w:szCs w:val="32"/>
          <w:shd w:val="clear" w:color="auto" w:fill="FFFFFF"/>
        </w:rPr>
        <w:t>高速公路经营管理者应当按照规定在高速公路入口设置称重检测设</w:t>
      </w:r>
      <w:r>
        <w:rPr>
          <w:rFonts w:hint="eastAsia" w:ascii="Times New Roman" w:hAnsi="Times New Roman" w:eastAsia="仿宋_GB2312" w:cs="Times New Roman"/>
          <w:kern w:val="0"/>
          <w:sz w:val="32"/>
          <w:szCs w:val="32"/>
          <w:lang w:val="en-US" w:eastAsia="zh-CN" w:bidi="ar-SA"/>
        </w:rPr>
        <w:t>备，发现违法超限货运车辆的，应当劝返并及时报告交通运输综合行政执法机构；不听劝返的，拒绝其驶入高速公路。</w:t>
      </w:r>
    </w:p>
    <w:p>
      <w:pPr>
        <w:spacing w:line="530" w:lineRule="exact"/>
        <w:rPr>
          <w:rFonts w:eastAsia="仿宋_GB2312"/>
          <w:kern w:val="0"/>
          <w:sz w:val="32"/>
          <w:szCs w:val="32"/>
        </w:rPr>
      </w:pPr>
      <w:r>
        <w:rPr>
          <w:rFonts w:eastAsia="仿宋_GB2312"/>
          <w:kern w:val="0"/>
          <w:sz w:val="32"/>
          <w:szCs w:val="32"/>
          <w:shd w:val="clear" w:color="auto" w:fill="FFFFFF"/>
        </w:rPr>
        <w:t xml:space="preserve">　  </w:t>
      </w:r>
      <w:r>
        <w:rPr>
          <w:rFonts w:eastAsia="仿宋_GB2312"/>
          <w:kern w:val="0"/>
          <w:sz w:val="32"/>
          <w:szCs w:val="32"/>
        </w:rPr>
        <w:t>超限货运车辆故意堵塞收费站、扰乱交通秩序的，高速公</w:t>
      </w:r>
      <w:r>
        <w:rPr>
          <w:rFonts w:eastAsia="仿宋_GB2312"/>
          <w:spacing w:val="-6"/>
          <w:kern w:val="0"/>
          <w:sz w:val="32"/>
          <w:szCs w:val="32"/>
        </w:rPr>
        <w:t>路经营管理者报告当地公安机关和交通运输主管部门依法处理。</w:t>
      </w:r>
    </w:p>
    <w:p>
      <w:pPr>
        <w:spacing w:line="530" w:lineRule="exact"/>
        <w:ind w:firstLine="640" w:firstLineChars="200"/>
        <w:rPr>
          <w:rFonts w:eastAsia="仿宋_GB2312"/>
          <w:kern w:val="0"/>
          <w:sz w:val="32"/>
          <w:szCs w:val="32"/>
        </w:rPr>
      </w:pPr>
      <w:r>
        <w:rPr>
          <w:rFonts w:eastAsia="仿宋_GB2312"/>
          <w:kern w:val="0"/>
          <w:sz w:val="32"/>
          <w:szCs w:val="32"/>
        </w:rPr>
        <w:t>对高速公路收费站货运车辆称重的数据、照片、视频监控等有关资料,交通运输综合执法机构、公安机关交通管理部门有权查阅和调取，经确认后作为行政处罚的证据。</w:t>
      </w:r>
    </w:p>
    <w:p>
      <w:pPr>
        <w:spacing w:line="530" w:lineRule="exact"/>
        <w:ind w:firstLine="640" w:firstLineChars="200"/>
        <w:rPr>
          <w:rFonts w:eastAsia="仿宋_GB2312"/>
          <w:kern w:val="0"/>
          <w:sz w:val="32"/>
          <w:szCs w:val="32"/>
        </w:rPr>
      </w:pPr>
      <w:r>
        <w:rPr>
          <w:rFonts w:eastAsia="黑体"/>
          <w:bCs/>
          <w:kern w:val="0"/>
          <w:sz w:val="32"/>
          <w:szCs w:val="32"/>
        </w:rPr>
        <w:t xml:space="preserve">第二十条 </w:t>
      </w:r>
      <w:r>
        <w:rPr>
          <w:rFonts w:eastAsia="仿宋_GB2312"/>
          <w:kern w:val="0"/>
          <w:sz w:val="32"/>
          <w:szCs w:val="32"/>
        </w:rPr>
        <w:t>经</w:t>
      </w:r>
      <w:r>
        <w:rPr>
          <w:rFonts w:eastAsia="仿宋_GB2312"/>
          <w:bCs/>
          <w:kern w:val="0"/>
          <w:sz w:val="32"/>
          <w:szCs w:val="32"/>
        </w:rPr>
        <w:t>公路超限检测站检测、流动检测、不停车超限检测</w:t>
      </w:r>
      <w:r>
        <w:rPr>
          <w:rFonts w:hint="eastAsia" w:eastAsia="仿宋_GB2312"/>
          <w:bCs/>
          <w:kern w:val="0"/>
          <w:sz w:val="32"/>
          <w:szCs w:val="32"/>
        </w:rPr>
        <w:t>认定</w:t>
      </w:r>
      <w:r>
        <w:rPr>
          <w:rFonts w:eastAsia="仿宋_GB2312"/>
          <w:bCs/>
          <w:kern w:val="0"/>
          <w:sz w:val="32"/>
          <w:szCs w:val="32"/>
        </w:rPr>
        <w:t>的</w:t>
      </w:r>
      <w:r>
        <w:rPr>
          <w:rFonts w:hint="eastAsia" w:eastAsia="仿宋_GB2312"/>
          <w:bCs/>
          <w:kern w:val="0"/>
          <w:sz w:val="32"/>
          <w:szCs w:val="32"/>
        </w:rPr>
        <w:t>违法</w:t>
      </w:r>
      <w:r>
        <w:rPr>
          <w:rFonts w:eastAsia="仿宋_GB2312"/>
          <w:bCs/>
          <w:kern w:val="0"/>
          <w:sz w:val="32"/>
          <w:szCs w:val="32"/>
        </w:rPr>
        <w:t>超</w:t>
      </w:r>
      <w:r>
        <w:rPr>
          <w:rFonts w:eastAsia="仿宋_GB2312"/>
          <w:kern w:val="0"/>
          <w:sz w:val="32"/>
          <w:szCs w:val="32"/>
        </w:rPr>
        <w:t>限超载货运车辆，应当按照规定进行卸载并消除违法行为。</w:t>
      </w:r>
    </w:p>
    <w:p>
      <w:pPr>
        <w:spacing w:line="530" w:lineRule="exact"/>
        <w:ind w:firstLine="640" w:firstLineChars="200"/>
        <w:rPr>
          <w:rFonts w:eastAsia="仿宋_GB2312"/>
          <w:kern w:val="0"/>
          <w:sz w:val="32"/>
          <w:szCs w:val="32"/>
        </w:rPr>
      </w:pPr>
      <w:r>
        <w:rPr>
          <w:rFonts w:eastAsia="黑体"/>
          <w:bCs/>
          <w:kern w:val="0"/>
          <w:sz w:val="32"/>
          <w:szCs w:val="32"/>
        </w:rPr>
        <w:t xml:space="preserve">第二十一条 </w:t>
      </w:r>
      <w:r>
        <w:rPr>
          <w:rFonts w:eastAsia="仿宋_GB2312"/>
          <w:kern w:val="0"/>
          <w:sz w:val="32"/>
          <w:szCs w:val="32"/>
        </w:rPr>
        <w:t>交通运输综合执法机构和使用单位应当按照规定定期对公路超限检测站、收费高速公路出入口使用的检测设备和不停车超限检测技术监控设备中的计量称重装置进行检定。经检定不合格的，不得投入使用。</w:t>
      </w:r>
    </w:p>
    <w:p>
      <w:pPr>
        <w:spacing w:line="530" w:lineRule="exact"/>
        <w:ind w:firstLine="616" w:firstLineChars="200"/>
        <w:rPr>
          <w:rFonts w:eastAsia="仿宋_GB2312"/>
          <w:spacing w:val="-6"/>
          <w:kern w:val="0"/>
          <w:sz w:val="32"/>
          <w:szCs w:val="32"/>
        </w:rPr>
      </w:pPr>
      <w:r>
        <w:rPr>
          <w:rFonts w:eastAsia="仿宋_GB2312"/>
          <w:spacing w:val="-6"/>
          <w:kern w:val="0"/>
          <w:sz w:val="32"/>
          <w:szCs w:val="32"/>
        </w:rPr>
        <w:t>任何单位和个人不得损坏、擅自移动或者拆除检测监控设备。</w:t>
      </w:r>
    </w:p>
    <w:p>
      <w:pPr>
        <w:adjustRightInd w:val="0"/>
        <w:snapToGrid w:val="0"/>
        <w:spacing w:line="530" w:lineRule="exact"/>
        <w:ind w:firstLine="2880" w:firstLineChars="900"/>
        <w:rPr>
          <w:rFonts w:eastAsia="黑体"/>
          <w:bCs/>
          <w:kern w:val="0"/>
          <w:sz w:val="32"/>
          <w:szCs w:val="32"/>
        </w:rPr>
      </w:pPr>
    </w:p>
    <w:p>
      <w:pPr>
        <w:adjustRightInd w:val="0"/>
        <w:snapToGrid w:val="0"/>
        <w:spacing w:line="530" w:lineRule="exact"/>
        <w:ind w:firstLine="2880" w:firstLineChars="900"/>
        <w:rPr>
          <w:rFonts w:eastAsia="黑体"/>
          <w:bCs/>
          <w:kern w:val="0"/>
          <w:sz w:val="32"/>
          <w:szCs w:val="32"/>
        </w:rPr>
      </w:pPr>
      <w:r>
        <w:rPr>
          <w:rFonts w:eastAsia="黑体"/>
          <w:bCs/>
          <w:kern w:val="0"/>
          <w:sz w:val="32"/>
          <w:szCs w:val="32"/>
        </w:rPr>
        <w:t>第四章  法律责任</w:t>
      </w:r>
    </w:p>
    <w:p>
      <w:pPr>
        <w:spacing w:line="530" w:lineRule="exact"/>
        <w:ind w:firstLine="640" w:firstLineChars="200"/>
        <w:rPr>
          <w:rFonts w:eastAsia="仿宋_GB2312"/>
          <w:bCs/>
          <w:sz w:val="32"/>
          <w:szCs w:val="32"/>
        </w:rPr>
      </w:pPr>
      <w:r>
        <w:rPr>
          <w:rFonts w:eastAsia="黑体"/>
          <w:bCs/>
          <w:kern w:val="0"/>
          <w:sz w:val="32"/>
          <w:szCs w:val="32"/>
        </w:rPr>
        <w:t xml:space="preserve">第二十二条 </w:t>
      </w:r>
      <w:r>
        <w:rPr>
          <w:rFonts w:eastAsia="仿宋_GB2312"/>
          <w:bCs/>
          <w:kern w:val="0"/>
          <w:sz w:val="32"/>
          <w:szCs w:val="32"/>
        </w:rPr>
        <w:t>车辆生产、销售、维修企业</w:t>
      </w:r>
      <w:r>
        <w:rPr>
          <w:rFonts w:eastAsia="仿宋_GB2312"/>
          <w:bCs/>
          <w:kern w:val="0"/>
          <w:sz w:val="32"/>
          <w:szCs w:val="32"/>
          <w:lang w:bidi="zh-CN"/>
        </w:rPr>
        <w:t>违反本</w:t>
      </w:r>
      <w:r>
        <w:rPr>
          <w:rFonts w:hint="eastAsia" w:eastAsia="仿宋_GB2312"/>
          <w:bCs/>
          <w:kern w:val="0"/>
          <w:sz w:val="32"/>
          <w:szCs w:val="32"/>
          <w:lang w:bidi="zh-CN"/>
        </w:rPr>
        <w:t>条例</w:t>
      </w:r>
      <w:r>
        <w:rPr>
          <w:rFonts w:eastAsia="仿宋_GB2312"/>
          <w:bCs/>
          <w:kern w:val="0"/>
          <w:sz w:val="32"/>
          <w:szCs w:val="32"/>
          <w:lang w:bidi="zh-CN"/>
        </w:rPr>
        <w:t>第八条第一款规定的，由</w:t>
      </w:r>
      <w:r>
        <w:rPr>
          <w:rFonts w:eastAsia="仿宋_GB2312"/>
          <w:bCs/>
          <w:sz w:val="32"/>
          <w:szCs w:val="32"/>
        </w:rPr>
        <w:t>工业和信息化、市场监督管理、公安、交通运输等部门依法处理。</w:t>
      </w:r>
    </w:p>
    <w:p>
      <w:pPr>
        <w:spacing w:line="530" w:lineRule="exact"/>
        <w:ind w:firstLine="640" w:firstLineChars="200"/>
        <w:rPr>
          <w:rFonts w:hint="eastAsia" w:ascii="Times New Roman" w:hAnsi="Times New Roman" w:eastAsia="仿宋_GB2312" w:cs="Times New Roman"/>
          <w:kern w:val="0"/>
          <w:sz w:val="32"/>
          <w:szCs w:val="32"/>
          <w:lang w:val="en-US" w:eastAsia="zh-CN" w:bidi="ar-SA"/>
        </w:rPr>
      </w:pPr>
      <w:r>
        <w:rPr>
          <w:rFonts w:hint="eastAsia" w:eastAsia="黑体"/>
          <w:bCs/>
          <w:kern w:val="0"/>
          <w:sz w:val="32"/>
          <w:szCs w:val="32"/>
        </w:rPr>
        <w:t xml:space="preserve">第二十三条 </w:t>
      </w:r>
      <w:r>
        <w:rPr>
          <w:rFonts w:hint="eastAsia" w:ascii="Times New Roman" w:hAnsi="Times New Roman" w:eastAsia="仿宋_GB2312" w:cs="Times New Roman"/>
          <w:kern w:val="0"/>
          <w:sz w:val="32"/>
          <w:szCs w:val="32"/>
          <w:lang w:val="en-US" w:eastAsia="zh-CN" w:bidi="ar-SA"/>
        </w:rPr>
        <w:t>违反本条例第九条规定情形之一的，由交通运输综合执法机构责令限期改正，逾期不改正的，处一千元以上五千元以下罚款。</w:t>
      </w:r>
    </w:p>
    <w:p>
      <w:pPr>
        <w:spacing w:line="530" w:lineRule="exact"/>
        <w:ind w:firstLine="640" w:firstLineChars="200"/>
        <w:rPr>
          <w:rFonts w:hint="eastAsia" w:ascii="Times New Roman" w:hAnsi="Times New Roman" w:eastAsia="仿宋_GB2312" w:cs="Times New Roman"/>
          <w:kern w:val="0"/>
          <w:sz w:val="32"/>
          <w:szCs w:val="32"/>
          <w:lang w:val="en-US" w:eastAsia="zh-CN" w:bidi="ar-SA"/>
        </w:rPr>
      </w:pPr>
      <w:r>
        <w:rPr>
          <w:rFonts w:eastAsia="黑体"/>
          <w:bCs/>
          <w:kern w:val="0"/>
          <w:sz w:val="32"/>
          <w:szCs w:val="32"/>
        </w:rPr>
        <w:t>第二十</w:t>
      </w:r>
      <w:r>
        <w:rPr>
          <w:rFonts w:hint="eastAsia" w:eastAsia="黑体"/>
          <w:bCs/>
          <w:kern w:val="0"/>
          <w:sz w:val="32"/>
          <w:szCs w:val="32"/>
        </w:rPr>
        <w:t>四</w:t>
      </w:r>
      <w:r>
        <w:rPr>
          <w:rFonts w:eastAsia="黑体"/>
          <w:bCs/>
          <w:kern w:val="0"/>
          <w:sz w:val="32"/>
          <w:szCs w:val="32"/>
        </w:rPr>
        <w:t xml:space="preserve">条 </w:t>
      </w:r>
      <w:r>
        <w:rPr>
          <w:rFonts w:hint="eastAsia" w:ascii="Times New Roman" w:hAnsi="Times New Roman" w:eastAsia="仿宋_GB2312" w:cs="Times New Roman"/>
          <w:kern w:val="0"/>
          <w:sz w:val="32"/>
          <w:szCs w:val="32"/>
          <w:lang w:val="en-US" w:eastAsia="zh-CN" w:bidi="ar-SA"/>
        </w:rPr>
        <w:t>货物单位违反本条例第十条第一款第一项规定的，由公安机关交通管理部门依据《中华人民共和国道路交通安全法》及其实施条例的规定进行处罚。</w:t>
      </w:r>
    </w:p>
    <w:p>
      <w:pPr>
        <w:spacing w:line="530" w:lineRule="exact"/>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货物单位违反本条例第十条第一款第二项至第五</w:t>
      </w:r>
      <w:bookmarkStart w:id="0" w:name="_GoBack"/>
      <w:bookmarkEnd w:id="0"/>
      <w:r>
        <w:rPr>
          <w:rFonts w:hint="eastAsia" w:ascii="Times New Roman" w:hAnsi="Times New Roman" w:eastAsia="仿宋_GB2312" w:cs="Times New Roman"/>
          <w:kern w:val="0"/>
          <w:sz w:val="32"/>
          <w:szCs w:val="32"/>
          <w:lang w:val="en-US" w:eastAsia="zh-CN" w:bidi="ar-SA"/>
        </w:rPr>
        <w:t>项、货物运输经营者违反本条例第十条第二款规定的，由交通运输主管部门依据《中华人民共和国道路运输条例》《公路安全保护条例》等法律、行政法规的规定进行处罚。</w:t>
      </w:r>
    </w:p>
    <w:p>
      <w:pPr>
        <w:spacing w:line="530" w:lineRule="exact"/>
        <w:ind w:firstLine="640" w:firstLineChars="200"/>
        <w:rPr>
          <w:rFonts w:hint="eastAsia" w:ascii="Times New Roman" w:hAnsi="Times New Roman" w:eastAsia="仿宋_GB2312" w:cs="Times New Roman"/>
          <w:kern w:val="0"/>
          <w:sz w:val="32"/>
          <w:szCs w:val="32"/>
          <w:lang w:val="en-US" w:eastAsia="zh-CN" w:bidi="ar-SA"/>
        </w:rPr>
      </w:pPr>
      <w:r>
        <w:rPr>
          <w:rFonts w:eastAsia="黑体"/>
          <w:bCs/>
          <w:kern w:val="0"/>
          <w:sz w:val="32"/>
          <w:szCs w:val="32"/>
        </w:rPr>
        <w:t>第二十</w:t>
      </w:r>
      <w:r>
        <w:rPr>
          <w:rFonts w:hint="eastAsia" w:eastAsia="黑体"/>
          <w:bCs/>
          <w:kern w:val="0"/>
          <w:sz w:val="32"/>
          <w:szCs w:val="32"/>
        </w:rPr>
        <w:t>五</w:t>
      </w:r>
      <w:r>
        <w:rPr>
          <w:rFonts w:eastAsia="黑体"/>
          <w:bCs/>
          <w:kern w:val="0"/>
          <w:sz w:val="32"/>
          <w:szCs w:val="32"/>
        </w:rPr>
        <w:t xml:space="preserve">条 </w:t>
      </w:r>
      <w:r>
        <w:rPr>
          <w:rFonts w:eastAsia="仿宋_GB2312"/>
          <w:bCs/>
          <w:kern w:val="0"/>
          <w:sz w:val="32"/>
          <w:szCs w:val="32"/>
        </w:rPr>
        <w:t>驾驶人</w:t>
      </w:r>
      <w:r>
        <w:rPr>
          <w:rFonts w:eastAsia="仿宋_GB2312"/>
          <w:bCs/>
          <w:spacing w:val="-2"/>
          <w:sz w:val="32"/>
          <w:szCs w:val="32"/>
        </w:rPr>
        <w:t>违反本</w:t>
      </w:r>
      <w:r>
        <w:rPr>
          <w:rFonts w:hint="eastAsia" w:eastAsia="仿宋_GB2312"/>
          <w:bCs/>
          <w:spacing w:val="-2"/>
          <w:sz w:val="32"/>
          <w:szCs w:val="32"/>
        </w:rPr>
        <w:t>条例</w:t>
      </w:r>
      <w:r>
        <w:rPr>
          <w:rFonts w:eastAsia="仿宋_GB2312"/>
          <w:bCs/>
          <w:spacing w:val="-2"/>
          <w:sz w:val="32"/>
          <w:szCs w:val="32"/>
        </w:rPr>
        <w:t>第十一条、第十四条第二款、第十七条第二项规定的，由公安机关</w:t>
      </w:r>
      <w:r>
        <w:rPr>
          <w:rFonts w:eastAsia="仿宋_GB2312"/>
          <w:bCs/>
          <w:sz w:val="32"/>
          <w:szCs w:val="32"/>
        </w:rPr>
        <w:t>交通管理</w:t>
      </w:r>
      <w:r>
        <w:rPr>
          <w:rFonts w:hint="eastAsia" w:ascii="Times New Roman" w:hAnsi="Times New Roman" w:eastAsia="仿宋_GB2312" w:cs="Times New Roman"/>
          <w:kern w:val="0"/>
          <w:sz w:val="32"/>
          <w:szCs w:val="32"/>
          <w:lang w:val="en-US" w:eastAsia="zh-CN" w:bidi="ar-SA"/>
        </w:rPr>
        <w:t>部门、交通运输主管部门依法处理。</w:t>
      </w:r>
    </w:p>
    <w:p>
      <w:pPr>
        <w:spacing w:line="530" w:lineRule="exact"/>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驾驶人违反本条例第十七条第一项规定，故意采取超低速行驶、急刹车、多车辆并排、首尾紧随或者偏离称重装置等方式逃避不停车超限检测技术监控的，由交通运输主管部门处以五千元以下罚款。</w:t>
      </w:r>
    </w:p>
    <w:p>
      <w:pPr>
        <w:spacing w:line="530" w:lineRule="exact"/>
        <w:ind w:firstLine="640" w:firstLineChars="200"/>
        <w:rPr>
          <w:rFonts w:eastAsia="仿宋_GB2312"/>
          <w:bCs/>
          <w:kern w:val="0"/>
          <w:sz w:val="32"/>
          <w:szCs w:val="32"/>
          <w:lang w:bidi="zh-CN"/>
        </w:rPr>
      </w:pPr>
      <w:r>
        <w:rPr>
          <w:rFonts w:eastAsia="黑体"/>
          <w:bCs/>
          <w:kern w:val="0"/>
          <w:sz w:val="32"/>
          <w:szCs w:val="32"/>
        </w:rPr>
        <w:t>第二十</w:t>
      </w:r>
      <w:r>
        <w:rPr>
          <w:rFonts w:hint="eastAsia" w:eastAsia="黑体"/>
          <w:bCs/>
          <w:kern w:val="0"/>
          <w:sz w:val="32"/>
          <w:szCs w:val="32"/>
        </w:rPr>
        <w:t>六</w:t>
      </w:r>
      <w:r>
        <w:rPr>
          <w:rFonts w:eastAsia="黑体"/>
          <w:bCs/>
          <w:kern w:val="0"/>
          <w:sz w:val="32"/>
          <w:szCs w:val="32"/>
        </w:rPr>
        <w:t xml:space="preserve">条 </w:t>
      </w:r>
      <w:r>
        <w:rPr>
          <w:rFonts w:eastAsia="仿宋_GB2312"/>
          <w:bCs/>
          <w:kern w:val="0"/>
          <w:sz w:val="32"/>
          <w:szCs w:val="32"/>
        </w:rPr>
        <w:t>货运车辆</w:t>
      </w:r>
      <w:r>
        <w:rPr>
          <w:rFonts w:eastAsia="仿宋_GB2312"/>
          <w:bCs/>
          <w:sz w:val="32"/>
          <w:szCs w:val="32"/>
        </w:rPr>
        <w:t>违反本</w:t>
      </w:r>
      <w:r>
        <w:rPr>
          <w:rFonts w:hint="eastAsia" w:eastAsia="仿宋_GB2312"/>
          <w:bCs/>
          <w:sz w:val="32"/>
          <w:szCs w:val="32"/>
        </w:rPr>
        <w:t>条例</w:t>
      </w:r>
      <w:r>
        <w:rPr>
          <w:rFonts w:eastAsia="仿宋_GB2312"/>
          <w:bCs/>
          <w:sz w:val="32"/>
          <w:szCs w:val="32"/>
        </w:rPr>
        <w:t>第十三条第一款规定的，由公安机关交通管</w:t>
      </w:r>
      <w:r>
        <w:rPr>
          <w:rFonts w:hint="eastAsia" w:ascii="Times New Roman" w:hAnsi="Times New Roman" w:eastAsia="仿宋_GB2312" w:cs="Times New Roman"/>
          <w:kern w:val="0"/>
          <w:sz w:val="32"/>
          <w:szCs w:val="32"/>
          <w:lang w:val="en-US" w:eastAsia="zh-CN" w:bidi="ar-SA"/>
        </w:rPr>
        <w:t>理部门、交通运输主管部门依法处理。货运车辆超限超载，造成公路</w:t>
      </w:r>
      <w:r>
        <w:rPr>
          <w:rFonts w:eastAsia="仿宋_GB2312"/>
          <w:bCs/>
          <w:kern w:val="0"/>
          <w:sz w:val="32"/>
          <w:szCs w:val="32"/>
          <w:lang w:bidi="zh-CN"/>
        </w:rPr>
        <w:t>、桥梁、隧道等严重损坏的，</w:t>
      </w:r>
      <w:r>
        <w:rPr>
          <w:rFonts w:eastAsia="仿宋_GB2312"/>
          <w:bCs/>
          <w:kern w:val="0"/>
          <w:sz w:val="32"/>
          <w:szCs w:val="32"/>
        </w:rPr>
        <w:t>应当依法赔偿。</w:t>
      </w:r>
    </w:p>
    <w:p>
      <w:pPr>
        <w:spacing w:line="530" w:lineRule="exact"/>
        <w:ind w:firstLine="640" w:firstLineChars="200"/>
        <w:rPr>
          <w:rFonts w:eastAsia="仿宋_GB2312"/>
          <w:sz w:val="32"/>
          <w:szCs w:val="32"/>
        </w:rPr>
      </w:pPr>
      <w:r>
        <w:rPr>
          <w:rFonts w:eastAsia="黑体"/>
          <w:bCs/>
          <w:kern w:val="0"/>
          <w:sz w:val="32"/>
          <w:szCs w:val="32"/>
        </w:rPr>
        <w:t>第二十</w:t>
      </w:r>
      <w:r>
        <w:rPr>
          <w:rFonts w:hint="eastAsia" w:eastAsia="黑体"/>
          <w:bCs/>
          <w:kern w:val="0"/>
          <w:sz w:val="32"/>
          <w:szCs w:val="32"/>
        </w:rPr>
        <w:t>七</w:t>
      </w:r>
      <w:r>
        <w:rPr>
          <w:rFonts w:eastAsia="黑体"/>
          <w:bCs/>
          <w:kern w:val="0"/>
          <w:sz w:val="32"/>
          <w:szCs w:val="32"/>
        </w:rPr>
        <w:t xml:space="preserve">条 </w:t>
      </w:r>
      <w:r>
        <w:rPr>
          <w:rFonts w:eastAsia="仿宋_GB2312"/>
          <w:spacing w:val="-2"/>
          <w:sz w:val="32"/>
          <w:szCs w:val="32"/>
        </w:rPr>
        <w:t>单位和个人违反本</w:t>
      </w:r>
      <w:r>
        <w:rPr>
          <w:rFonts w:hint="eastAsia" w:eastAsia="仿宋_GB2312"/>
          <w:spacing w:val="-2"/>
          <w:sz w:val="32"/>
          <w:szCs w:val="32"/>
        </w:rPr>
        <w:t>条例</w:t>
      </w:r>
      <w:r>
        <w:rPr>
          <w:rFonts w:eastAsia="仿宋_GB2312"/>
          <w:spacing w:val="-2"/>
          <w:sz w:val="32"/>
          <w:szCs w:val="32"/>
        </w:rPr>
        <w:t>第二十一条第二款规定，损坏、擅自移</w:t>
      </w:r>
      <w:r>
        <w:rPr>
          <w:rFonts w:eastAsia="仿宋_GB2312"/>
          <w:sz w:val="32"/>
          <w:szCs w:val="32"/>
        </w:rPr>
        <w:t>动或者拆除检测监控设</w:t>
      </w:r>
      <w:r>
        <w:rPr>
          <w:rFonts w:hint="eastAsia" w:ascii="Times New Roman" w:hAnsi="Times New Roman" w:eastAsia="仿宋_GB2312" w:cs="Times New Roman"/>
          <w:kern w:val="0"/>
          <w:sz w:val="32"/>
          <w:szCs w:val="32"/>
          <w:lang w:val="en-US" w:eastAsia="zh-CN" w:bidi="ar-SA"/>
        </w:rPr>
        <w:t>备的，由交通运输主管部门责令改正，处一千元以上五千元以下罚款；情节严重的，处五千元以上三万元以下罚款。造</w:t>
      </w:r>
      <w:r>
        <w:rPr>
          <w:rFonts w:eastAsia="仿宋_GB2312"/>
          <w:sz w:val="32"/>
          <w:szCs w:val="32"/>
        </w:rPr>
        <w:t>成检测监控设备损坏的，应当</w:t>
      </w:r>
      <w:r>
        <w:rPr>
          <w:rFonts w:eastAsia="仿宋_GB2312"/>
          <w:kern w:val="0"/>
          <w:sz w:val="32"/>
          <w:szCs w:val="32"/>
        </w:rPr>
        <w:t>依法</w:t>
      </w:r>
      <w:r>
        <w:rPr>
          <w:rFonts w:eastAsia="仿宋_GB2312"/>
          <w:sz w:val="32"/>
          <w:szCs w:val="32"/>
        </w:rPr>
        <w:t>赔偿。</w:t>
      </w:r>
    </w:p>
    <w:p>
      <w:pPr>
        <w:pStyle w:val="14"/>
        <w:spacing w:line="530" w:lineRule="exact"/>
        <w:ind w:firstLine="640" w:firstLineChars="200"/>
        <w:rPr>
          <w:rFonts w:hint="eastAsia" w:ascii="Times New Roman" w:hAnsi="Times New Roman" w:eastAsia="仿宋_GB2312" w:cs="Times New Roman"/>
          <w:kern w:val="0"/>
          <w:sz w:val="32"/>
          <w:szCs w:val="32"/>
          <w:lang w:val="en-US" w:eastAsia="zh-CN" w:bidi="ar-SA"/>
        </w:rPr>
      </w:pPr>
      <w:r>
        <w:rPr>
          <w:rFonts w:eastAsia="黑体"/>
          <w:bCs/>
          <w:kern w:val="0"/>
          <w:sz w:val="32"/>
          <w:szCs w:val="32"/>
        </w:rPr>
        <w:t>第二十</w:t>
      </w:r>
      <w:r>
        <w:rPr>
          <w:rFonts w:hint="eastAsia" w:eastAsia="黑体"/>
          <w:bCs/>
          <w:kern w:val="0"/>
          <w:sz w:val="32"/>
          <w:szCs w:val="32"/>
        </w:rPr>
        <w:t>八</w:t>
      </w:r>
      <w:r>
        <w:rPr>
          <w:rFonts w:eastAsia="黑体"/>
          <w:bCs/>
          <w:kern w:val="0"/>
          <w:sz w:val="32"/>
          <w:szCs w:val="32"/>
        </w:rPr>
        <w:t xml:space="preserve">条 </w:t>
      </w:r>
      <w:r>
        <w:rPr>
          <w:rFonts w:eastAsia="仿宋_GB2312"/>
          <w:kern w:val="0"/>
          <w:sz w:val="32"/>
          <w:szCs w:val="32"/>
        </w:rPr>
        <w:t>货运车辆一年</w:t>
      </w:r>
      <w:r>
        <w:rPr>
          <w:rFonts w:hint="eastAsia" w:ascii="Times New Roman" w:hAnsi="Times New Roman" w:eastAsia="仿宋_GB2312" w:cs="Times New Roman"/>
          <w:kern w:val="0"/>
          <w:sz w:val="32"/>
          <w:szCs w:val="32"/>
          <w:lang w:val="en-US" w:eastAsia="zh-CN" w:bidi="ar-SA"/>
        </w:rPr>
        <w:t>内违法超限运输超过三次的，由交通运输主管部门吊销该车辆的车辆营运证。货运车辆驾驶人一年内违法超限运输超过三次的，由交通运输主管部门责令其停止从事营业性运输。道路运输企业一年内违法超限运输的货运车辆超过本单位货运车辆总数百分之十的，由交通运输主管部门责令停业整顿；超过百分之三十的，依法吊销其道路运输经营许可证，并向社会公告。</w:t>
      </w:r>
    </w:p>
    <w:p>
      <w:pPr>
        <w:pStyle w:val="14"/>
        <w:spacing w:line="530" w:lineRule="exact"/>
        <w:ind w:firstLine="640" w:firstLineChars="200"/>
        <w:rPr>
          <w:rFonts w:hint="eastAsia"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因超限运输被吊销道路运输经营许可证件的，道路运输企业、货运车辆驾驶人一年内不得向相关部门申请办理上述许可证件。</w:t>
      </w:r>
    </w:p>
    <w:p>
      <w:pPr>
        <w:pStyle w:val="14"/>
        <w:spacing w:line="530" w:lineRule="exact"/>
        <w:ind w:firstLine="643" w:firstLineChars="200"/>
        <w:rPr>
          <w:rFonts w:hint="eastAsia" w:ascii="Times New Roman" w:hAnsi="Times New Roman" w:eastAsia="仿宋_GB2312" w:cs="Times New Roman"/>
          <w:kern w:val="0"/>
          <w:sz w:val="32"/>
          <w:szCs w:val="32"/>
          <w:lang w:val="en-US" w:eastAsia="zh-CN" w:bidi="ar-SA"/>
        </w:rPr>
      </w:pPr>
      <w:r>
        <w:rPr>
          <w:rFonts w:hint="eastAsia" w:eastAsia="黑体"/>
          <w:b/>
          <w:bCs/>
          <w:kern w:val="0"/>
          <w:sz w:val="32"/>
          <w:szCs w:val="32"/>
        </w:rPr>
        <w:t xml:space="preserve">第二十九条 </w:t>
      </w:r>
      <w:r>
        <w:rPr>
          <w:rFonts w:hint="eastAsia" w:ascii="Times New Roman" w:hAnsi="Times New Roman" w:eastAsia="仿宋_GB2312" w:cs="Times New Roman"/>
          <w:kern w:val="0"/>
          <w:sz w:val="32"/>
          <w:szCs w:val="32"/>
          <w:lang w:val="en-US" w:eastAsia="zh-CN" w:bidi="ar-SA"/>
        </w:rPr>
        <w:t>违反本条例第十八条第一款规定，货运车辆所有人或者货运车辆驾驶人未在告知后三十日内到交通运输综合行政执法机构接受处理的，交通运输综合行政执法机构可以采取公告方式告知当事人拟作出的行政处罚决定的事实、理由、依据、依法享有的权利以及公告期届满后将依法作出行政处罚决定。公告期为七日。当事人公告期满未提出申辩的，交通运输综合行政执法机构可以依法作出行政处罚决定。</w:t>
      </w:r>
    </w:p>
    <w:p>
      <w:pPr>
        <w:spacing w:line="530" w:lineRule="exact"/>
        <w:ind w:firstLine="640" w:firstLineChars="200"/>
        <w:rPr>
          <w:rFonts w:eastAsia="仿宋_GB2312"/>
          <w:kern w:val="0"/>
          <w:sz w:val="32"/>
          <w:szCs w:val="32"/>
        </w:rPr>
      </w:pPr>
      <w:r>
        <w:rPr>
          <w:rFonts w:eastAsia="黑体"/>
          <w:bCs/>
          <w:kern w:val="0"/>
          <w:sz w:val="32"/>
          <w:szCs w:val="32"/>
        </w:rPr>
        <w:t>第</w:t>
      </w:r>
      <w:r>
        <w:rPr>
          <w:rFonts w:hint="eastAsia" w:eastAsia="黑体"/>
          <w:bCs/>
          <w:kern w:val="0"/>
          <w:sz w:val="32"/>
          <w:szCs w:val="32"/>
        </w:rPr>
        <w:t>三</w:t>
      </w:r>
      <w:r>
        <w:rPr>
          <w:rFonts w:eastAsia="黑体"/>
          <w:bCs/>
          <w:kern w:val="0"/>
          <w:sz w:val="32"/>
          <w:szCs w:val="32"/>
        </w:rPr>
        <w:t xml:space="preserve">十条 </w:t>
      </w:r>
      <w:r>
        <w:rPr>
          <w:rFonts w:eastAsia="仿宋_GB2312"/>
          <w:kern w:val="0"/>
          <w:sz w:val="32"/>
          <w:szCs w:val="32"/>
          <w:lang w:bidi="zh-CN"/>
        </w:rPr>
        <w:t>违反本</w:t>
      </w:r>
      <w:r>
        <w:rPr>
          <w:rFonts w:hint="eastAsia" w:eastAsia="仿宋_GB2312"/>
          <w:kern w:val="0"/>
          <w:sz w:val="32"/>
          <w:szCs w:val="32"/>
          <w:lang w:bidi="zh-CN"/>
        </w:rPr>
        <w:t>条例</w:t>
      </w:r>
      <w:r>
        <w:rPr>
          <w:rFonts w:eastAsia="仿宋_GB2312"/>
          <w:kern w:val="0"/>
          <w:sz w:val="32"/>
          <w:szCs w:val="32"/>
          <w:lang w:bidi="zh-CN"/>
        </w:rPr>
        <w:t>规定，</w:t>
      </w:r>
      <w:r>
        <w:rPr>
          <w:rFonts w:eastAsia="仿宋_GB2312"/>
          <w:spacing w:val="-2"/>
          <w:sz w:val="32"/>
          <w:szCs w:val="32"/>
          <w:lang w:bidi="zh-CN"/>
        </w:rPr>
        <w:t>负有治理</w:t>
      </w:r>
      <w:r>
        <w:rPr>
          <w:rFonts w:eastAsia="仿宋_GB2312"/>
          <w:kern w:val="0"/>
          <w:sz w:val="32"/>
          <w:szCs w:val="32"/>
        </w:rPr>
        <w:t>货运车辆超限超载</w:t>
      </w:r>
      <w:r>
        <w:rPr>
          <w:rFonts w:eastAsia="仿宋_GB2312"/>
          <w:spacing w:val="-6"/>
          <w:kern w:val="0"/>
          <w:sz w:val="32"/>
          <w:szCs w:val="32"/>
        </w:rPr>
        <w:t>职责的工作人员有下列情形之一的，依照有关规定追究责任：</w:t>
      </w:r>
    </w:p>
    <w:p>
      <w:pPr>
        <w:numPr>
          <w:ilvl w:val="0"/>
          <w:numId w:val="1"/>
        </w:numPr>
        <w:spacing w:line="530" w:lineRule="exact"/>
        <w:ind w:firstLine="640" w:firstLineChars="200"/>
        <w:rPr>
          <w:rFonts w:eastAsia="仿宋_GB2312"/>
          <w:kern w:val="0"/>
          <w:sz w:val="32"/>
          <w:szCs w:val="32"/>
        </w:rPr>
      </w:pPr>
      <w:r>
        <w:rPr>
          <w:rFonts w:eastAsia="仿宋_GB2312"/>
          <w:kern w:val="0"/>
          <w:sz w:val="32"/>
          <w:szCs w:val="32"/>
        </w:rPr>
        <w:t>对不符合机动车国家安全技术标准的货运车辆予以注册登记、发放检验合格标志的；</w:t>
      </w:r>
    </w:p>
    <w:p>
      <w:pPr>
        <w:spacing w:line="530" w:lineRule="exact"/>
        <w:ind w:firstLine="640" w:firstLineChars="200"/>
        <w:rPr>
          <w:rFonts w:eastAsia="仿宋_GB2312"/>
          <w:kern w:val="0"/>
          <w:sz w:val="32"/>
          <w:szCs w:val="32"/>
        </w:rPr>
      </w:pPr>
      <w:r>
        <w:rPr>
          <w:rFonts w:eastAsia="仿宋_GB2312"/>
          <w:kern w:val="0"/>
          <w:sz w:val="32"/>
          <w:szCs w:val="32"/>
        </w:rPr>
        <w:t>（二）对不符合机动车国家安全技术标准和道路运输车辆技术管理规定的货运车辆核发车辆营运证的；</w:t>
      </w:r>
    </w:p>
    <w:p>
      <w:pPr>
        <w:spacing w:line="530" w:lineRule="exact"/>
        <w:ind w:firstLine="640" w:firstLineChars="200"/>
        <w:rPr>
          <w:rFonts w:eastAsia="仿宋_GB2312"/>
          <w:kern w:val="0"/>
          <w:sz w:val="32"/>
          <w:szCs w:val="32"/>
        </w:rPr>
      </w:pPr>
      <w:r>
        <w:rPr>
          <w:rFonts w:eastAsia="仿宋_GB2312"/>
          <w:kern w:val="0"/>
          <w:sz w:val="32"/>
          <w:szCs w:val="32"/>
        </w:rPr>
        <w:t>（三）违反规定放行超限超载货运车辆或者不责令货物承运人消除违法行为的；</w:t>
      </w:r>
    </w:p>
    <w:p>
      <w:pPr>
        <w:spacing w:line="530" w:lineRule="exact"/>
        <w:ind w:firstLine="640" w:firstLineChars="200"/>
        <w:rPr>
          <w:rFonts w:eastAsia="仿宋_GB2312"/>
          <w:kern w:val="0"/>
          <w:sz w:val="32"/>
          <w:szCs w:val="32"/>
        </w:rPr>
      </w:pPr>
      <w:r>
        <w:rPr>
          <w:rFonts w:eastAsia="仿宋_GB2312"/>
          <w:kern w:val="0"/>
          <w:sz w:val="32"/>
          <w:szCs w:val="32"/>
        </w:rPr>
        <w:t>（四）接到货运车辆超限超载违法行为的举报，未及时组织核查并依法处理的；</w:t>
      </w:r>
    </w:p>
    <w:p>
      <w:pPr>
        <w:spacing w:line="530" w:lineRule="exact"/>
        <w:ind w:firstLine="640" w:firstLineChars="200"/>
        <w:rPr>
          <w:rFonts w:eastAsia="仿宋_GB2312"/>
          <w:b/>
          <w:bCs/>
          <w:kern w:val="0"/>
          <w:sz w:val="32"/>
          <w:szCs w:val="32"/>
        </w:rPr>
      </w:pPr>
      <w:r>
        <w:rPr>
          <w:rFonts w:eastAsia="仿宋_GB2312"/>
          <w:kern w:val="0"/>
          <w:sz w:val="32"/>
          <w:szCs w:val="32"/>
        </w:rPr>
        <w:t>（五）对有关部门抄告的信息不及时依法查处的；</w:t>
      </w:r>
    </w:p>
    <w:p>
      <w:pPr>
        <w:spacing w:line="530" w:lineRule="exact"/>
        <w:ind w:firstLine="640" w:firstLineChars="200"/>
        <w:rPr>
          <w:rFonts w:eastAsia="仿宋_GB2312"/>
          <w:kern w:val="0"/>
          <w:sz w:val="32"/>
          <w:szCs w:val="32"/>
        </w:rPr>
      </w:pPr>
      <w:r>
        <w:rPr>
          <w:rFonts w:eastAsia="仿宋_GB2312"/>
          <w:kern w:val="0"/>
          <w:sz w:val="32"/>
          <w:szCs w:val="32"/>
        </w:rPr>
        <w:t>（六）索取、收受他人财物或者谋取利益的；</w:t>
      </w:r>
    </w:p>
    <w:p>
      <w:pPr>
        <w:spacing w:line="530" w:lineRule="exact"/>
        <w:ind w:firstLine="640" w:firstLineChars="200"/>
        <w:rPr>
          <w:rFonts w:eastAsia="仿宋_GB2312"/>
          <w:kern w:val="0"/>
          <w:sz w:val="32"/>
          <w:szCs w:val="32"/>
        </w:rPr>
      </w:pPr>
      <w:r>
        <w:rPr>
          <w:rFonts w:eastAsia="仿宋_GB2312"/>
          <w:kern w:val="0"/>
          <w:sz w:val="32"/>
          <w:szCs w:val="32"/>
        </w:rPr>
        <w:t>（七）其他滥用职权、玩忽职守、徇私舞弊行为的。</w:t>
      </w:r>
    </w:p>
    <w:p>
      <w:pPr>
        <w:spacing w:line="530" w:lineRule="exact"/>
        <w:ind w:firstLine="640" w:firstLineChars="200"/>
        <w:rPr>
          <w:rFonts w:eastAsia="仿宋_GB2312"/>
          <w:kern w:val="0"/>
          <w:sz w:val="32"/>
          <w:szCs w:val="32"/>
          <w:lang w:bidi="zh-CN"/>
        </w:rPr>
      </w:pPr>
      <w:r>
        <w:rPr>
          <w:rFonts w:eastAsia="黑体"/>
          <w:bCs/>
          <w:kern w:val="0"/>
          <w:sz w:val="32"/>
          <w:szCs w:val="32"/>
        </w:rPr>
        <w:t>第</w:t>
      </w:r>
      <w:r>
        <w:rPr>
          <w:rFonts w:hint="eastAsia" w:eastAsia="黑体"/>
          <w:bCs/>
          <w:kern w:val="0"/>
          <w:sz w:val="32"/>
          <w:szCs w:val="32"/>
        </w:rPr>
        <w:t>三</w:t>
      </w:r>
      <w:r>
        <w:rPr>
          <w:rFonts w:eastAsia="黑体"/>
          <w:bCs/>
          <w:kern w:val="0"/>
          <w:sz w:val="32"/>
          <w:szCs w:val="32"/>
        </w:rPr>
        <w:t>十</w:t>
      </w:r>
      <w:r>
        <w:rPr>
          <w:rFonts w:hint="eastAsia" w:eastAsia="黑体"/>
          <w:bCs/>
          <w:kern w:val="0"/>
          <w:sz w:val="32"/>
          <w:szCs w:val="32"/>
        </w:rPr>
        <w:t>一</w:t>
      </w:r>
      <w:r>
        <w:rPr>
          <w:rFonts w:eastAsia="黑体"/>
          <w:bCs/>
          <w:kern w:val="0"/>
          <w:sz w:val="32"/>
          <w:szCs w:val="32"/>
        </w:rPr>
        <w:t xml:space="preserve">条 </w:t>
      </w:r>
      <w:r>
        <w:rPr>
          <w:rFonts w:eastAsia="仿宋_GB2312"/>
          <w:kern w:val="0"/>
          <w:sz w:val="32"/>
          <w:szCs w:val="32"/>
        </w:rPr>
        <w:t>违反本</w:t>
      </w:r>
      <w:r>
        <w:rPr>
          <w:rFonts w:hint="eastAsia" w:eastAsia="仿宋_GB2312"/>
          <w:kern w:val="0"/>
          <w:sz w:val="32"/>
          <w:szCs w:val="32"/>
        </w:rPr>
        <w:t>条例</w:t>
      </w:r>
      <w:r>
        <w:rPr>
          <w:rFonts w:eastAsia="仿宋_GB2312"/>
          <w:kern w:val="0"/>
          <w:sz w:val="32"/>
          <w:szCs w:val="32"/>
        </w:rPr>
        <w:t>规定的行为，法律、法规另有规定的，从其规定。</w:t>
      </w:r>
    </w:p>
    <w:p>
      <w:pPr>
        <w:spacing w:line="530" w:lineRule="exact"/>
        <w:ind w:firstLine="640" w:firstLineChars="200"/>
        <w:jc w:val="center"/>
        <w:rPr>
          <w:rFonts w:eastAsia="黑体"/>
          <w:kern w:val="0"/>
          <w:sz w:val="32"/>
          <w:szCs w:val="32"/>
        </w:rPr>
      </w:pPr>
    </w:p>
    <w:p>
      <w:pPr>
        <w:spacing w:line="530" w:lineRule="exact"/>
        <w:ind w:firstLine="640" w:firstLineChars="200"/>
        <w:jc w:val="center"/>
        <w:rPr>
          <w:rFonts w:eastAsia="黑体"/>
          <w:kern w:val="0"/>
          <w:sz w:val="32"/>
          <w:szCs w:val="32"/>
        </w:rPr>
      </w:pPr>
      <w:r>
        <w:rPr>
          <w:rFonts w:eastAsia="黑体"/>
          <w:kern w:val="0"/>
          <w:sz w:val="32"/>
          <w:szCs w:val="32"/>
        </w:rPr>
        <w:t>第五章 附则</w:t>
      </w:r>
    </w:p>
    <w:p>
      <w:pPr>
        <w:spacing w:line="530" w:lineRule="exact"/>
        <w:ind w:firstLine="640" w:firstLineChars="200"/>
        <w:rPr>
          <w:rFonts w:eastAsia="仿宋_GB2312"/>
          <w:spacing w:val="-2"/>
          <w:sz w:val="32"/>
          <w:szCs w:val="32"/>
          <w:lang w:bidi="zh-CN"/>
        </w:rPr>
      </w:pPr>
      <w:r>
        <w:rPr>
          <w:rFonts w:eastAsia="黑体"/>
          <w:bCs/>
          <w:kern w:val="0"/>
          <w:sz w:val="32"/>
          <w:szCs w:val="32"/>
          <w:lang w:val="zh-CN"/>
        </w:rPr>
        <w:t>第三十</w:t>
      </w:r>
      <w:r>
        <w:rPr>
          <w:rFonts w:hint="eastAsia" w:eastAsia="黑体"/>
          <w:bCs/>
          <w:kern w:val="0"/>
          <w:sz w:val="32"/>
          <w:szCs w:val="32"/>
          <w:lang w:val="zh-CN"/>
        </w:rPr>
        <w:t>二</w:t>
      </w:r>
      <w:r>
        <w:rPr>
          <w:rFonts w:eastAsia="黑体"/>
          <w:bCs/>
          <w:kern w:val="0"/>
          <w:sz w:val="32"/>
          <w:szCs w:val="32"/>
          <w:lang w:val="zh-CN"/>
        </w:rPr>
        <w:t>条</w:t>
      </w:r>
      <w:r>
        <w:rPr>
          <w:rFonts w:eastAsia="黑体"/>
          <w:bCs/>
          <w:kern w:val="0"/>
          <w:sz w:val="32"/>
          <w:szCs w:val="32"/>
        </w:rPr>
        <w:t xml:space="preserve"> </w:t>
      </w:r>
      <w:r>
        <w:rPr>
          <w:rFonts w:eastAsia="仿宋_GB2312"/>
          <w:kern w:val="0"/>
          <w:sz w:val="32"/>
          <w:szCs w:val="32"/>
        </w:rPr>
        <w:t>在城市道路上</w:t>
      </w:r>
      <w:r>
        <w:rPr>
          <w:rFonts w:hint="eastAsia" w:eastAsia="仿宋_GB2312"/>
          <w:kern w:val="0"/>
          <w:sz w:val="32"/>
          <w:szCs w:val="32"/>
        </w:rPr>
        <w:t>行驶</w:t>
      </w:r>
      <w:r>
        <w:rPr>
          <w:rFonts w:eastAsia="仿宋_GB2312"/>
          <w:kern w:val="0"/>
          <w:sz w:val="32"/>
          <w:szCs w:val="32"/>
        </w:rPr>
        <w:t>的货运车辆超限超载的治理，参照本</w:t>
      </w:r>
      <w:r>
        <w:rPr>
          <w:rFonts w:hint="eastAsia" w:eastAsia="仿宋_GB2312"/>
          <w:kern w:val="0"/>
          <w:sz w:val="32"/>
          <w:szCs w:val="32"/>
        </w:rPr>
        <w:t>条例</w:t>
      </w:r>
      <w:r>
        <w:rPr>
          <w:rFonts w:eastAsia="仿宋_GB2312"/>
          <w:kern w:val="0"/>
          <w:sz w:val="32"/>
          <w:szCs w:val="32"/>
        </w:rPr>
        <w:t>执行。</w:t>
      </w:r>
    </w:p>
    <w:p>
      <w:pPr>
        <w:spacing w:line="530" w:lineRule="exact"/>
        <w:ind w:firstLine="640" w:firstLineChars="200"/>
        <w:rPr>
          <w:rFonts w:ascii="仿宋_GB2312" w:eastAsia="仿宋_GB2312"/>
          <w:sz w:val="32"/>
          <w:szCs w:val="32"/>
        </w:rPr>
      </w:pPr>
      <w:r>
        <w:rPr>
          <w:rFonts w:eastAsia="黑体"/>
          <w:bCs/>
          <w:kern w:val="0"/>
          <w:sz w:val="32"/>
          <w:szCs w:val="32"/>
        </w:rPr>
        <w:t>第三十</w:t>
      </w:r>
      <w:r>
        <w:rPr>
          <w:rFonts w:hint="eastAsia" w:eastAsia="黑体"/>
          <w:bCs/>
          <w:kern w:val="0"/>
          <w:sz w:val="32"/>
          <w:szCs w:val="32"/>
          <w:lang w:val="zh-CN"/>
        </w:rPr>
        <w:t>三</w:t>
      </w:r>
      <w:r>
        <w:rPr>
          <w:rFonts w:eastAsia="黑体"/>
          <w:bCs/>
          <w:kern w:val="0"/>
          <w:sz w:val="32"/>
          <w:szCs w:val="32"/>
        </w:rPr>
        <w:t xml:space="preserve">条 </w:t>
      </w:r>
      <w:r>
        <w:rPr>
          <w:rFonts w:eastAsia="仿宋_GB2312"/>
          <w:kern w:val="0"/>
          <w:sz w:val="32"/>
          <w:szCs w:val="32"/>
        </w:rPr>
        <w:t>本</w:t>
      </w:r>
      <w:r>
        <w:rPr>
          <w:rFonts w:hint="eastAsia" w:eastAsia="仿宋_GB2312"/>
          <w:kern w:val="0"/>
          <w:sz w:val="32"/>
          <w:szCs w:val="32"/>
        </w:rPr>
        <w:t>条例</w:t>
      </w:r>
      <w:r>
        <w:rPr>
          <w:rFonts w:eastAsia="仿宋_GB2312"/>
          <w:kern w:val="0"/>
          <w:sz w:val="32"/>
          <w:szCs w:val="32"/>
        </w:rPr>
        <w:t>自</w:t>
      </w:r>
      <w:r>
        <w:rPr>
          <w:rFonts w:hint="eastAsia" w:eastAsia="仿宋_GB2312"/>
          <w:kern w:val="0"/>
          <w:sz w:val="32"/>
          <w:szCs w:val="32"/>
        </w:rPr>
        <w:t xml:space="preserve">   </w:t>
      </w:r>
      <w:r>
        <w:rPr>
          <w:rFonts w:eastAsia="仿宋_GB2312"/>
          <w:kern w:val="0"/>
          <w:sz w:val="32"/>
          <w:szCs w:val="32"/>
        </w:rPr>
        <w:t>年</w:t>
      </w:r>
      <w:r>
        <w:rPr>
          <w:rFonts w:hint="eastAsia" w:eastAsia="仿宋_GB2312"/>
          <w:kern w:val="0"/>
          <w:sz w:val="32"/>
          <w:szCs w:val="32"/>
        </w:rPr>
        <w:t xml:space="preserve">  </w:t>
      </w:r>
      <w:r>
        <w:rPr>
          <w:rFonts w:eastAsia="仿宋_GB2312"/>
          <w:kern w:val="0"/>
          <w:sz w:val="32"/>
          <w:szCs w:val="32"/>
        </w:rPr>
        <w:t>月</w:t>
      </w:r>
      <w:r>
        <w:rPr>
          <w:rFonts w:hint="eastAsia" w:eastAsia="仿宋_GB2312"/>
          <w:kern w:val="0"/>
          <w:sz w:val="32"/>
          <w:szCs w:val="32"/>
        </w:rPr>
        <w:t xml:space="preserve">  </w:t>
      </w:r>
      <w:r>
        <w:rPr>
          <w:rFonts w:eastAsia="仿宋_GB2312"/>
          <w:kern w:val="0"/>
          <w:sz w:val="32"/>
          <w:szCs w:val="32"/>
        </w:rPr>
        <w:t>日起施行。</w:t>
      </w:r>
    </w:p>
    <w:sectPr>
      <w:footerReference r:id="rId3" w:type="default"/>
      <w:pgSz w:w="11906" w:h="16838"/>
      <w:pgMar w:top="1440" w:right="1800" w:bottom="1440" w:left="1800" w:header="720" w:footer="72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6145" o:spid="_x0000_s6145" o:spt="202" type="#_x0000_t202" style="position:absolute;left:0pt;margin-top:0pt;height:12.05pt;width:17.5pt;mso-position-horizontal:outside;mso-position-horizontal-relative:margin;mso-wrap-style:none;z-index:25165824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">
          <v:path/>
          <v:fill on="f" focussize="0,0"/>
          <v:stroke on="f" joinstyle="miter"/>
          <v:imagedata o:title=""/>
          <o:lock v:ext="edit"/>
          <v:textbox inset="0mm,0mm,0mm,0mm" style="mso-fit-shape-to-text:t;">
            <w:txbxContent>
              <w:p>
                <w:pPr>
                  <w:snapToGrid w:val="0"/>
                  <w:rPr>
                    <w:rFonts w:ascii="宋体" w:cs="宋体"/>
                    <w:sz w:val="28"/>
                    <w:szCs w:val="28"/>
                  </w:rPr>
                </w:pPr>
                <w:r>
                  <w:rPr>
                    <w:rFonts w:hint="eastAsia" w:ascii="宋体" w:cs="宋体"/>
                    <w:sz w:val="28"/>
                    <w:szCs w:val="28"/>
                  </w:rPr>
                  <w:fldChar w:fldCharType="begin"/>
                </w:r>
                <w:r>
                  <w:rPr>
                    <w:rFonts w:hint="eastAsia" w:ascii="宋体" w:cs="宋体"/>
                    <w:sz w:val="28"/>
                    <w:szCs w:val="28"/>
                  </w:rPr>
                  <w:instrText xml:space="preserve"> PAGE  \* MERGEFORMAT </w:instrText>
                </w:r>
                <w:r>
                  <w:rPr>
                    <w:rFonts w:hint="eastAsia" w:ascii="宋体" w:cs="宋体"/>
                    <w:sz w:val="28"/>
                    <w:szCs w:val="28"/>
                  </w:rPr>
                  <w:fldChar w:fldCharType="separate"/>
                </w:r>
                <w:r>
                  <w:t>- 1 -</w:t>
                </w:r>
                <w:r>
                  <w:rPr>
                    <w:rFonts w:hint="eastAsia" w:ascii="宋体" w:cs="宋体"/>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98F745"/>
    <w:multiLevelType w:val="singleLevel"/>
    <w:tmpl w:val="FB98F74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6"/>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11565"/>
    <w:rsid w:val="0003259F"/>
    <w:rsid w:val="000672B0"/>
    <w:rsid w:val="0008280D"/>
    <w:rsid w:val="000D33BE"/>
    <w:rsid w:val="000E1D50"/>
    <w:rsid w:val="00115FD4"/>
    <w:rsid w:val="0012309D"/>
    <w:rsid w:val="001338F5"/>
    <w:rsid w:val="001668BA"/>
    <w:rsid w:val="00172A27"/>
    <w:rsid w:val="0017403C"/>
    <w:rsid w:val="00174342"/>
    <w:rsid w:val="0018639B"/>
    <w:rsid w:val="00187B4D"/>
    <w:rsid w:val="001A617A"/>
    <w:rsid w:val="001B0D56"/>
    <w:rsid w:val="00223A3C"/>
    <w:rsid w:val="002444FC"/>
    <w:rsid w:val="00260F4E"/>
    <w:rsid w:val="00270E3D"/>
    <w:rsid w:val="002775C2"/>
    <w:rsid w:val="00285597"/>
    <w:rsid w:val="002879F9"/>
    <w:rsid w:val="00293E24"/>
    <w:rsid w:val="002B0DB3"/>
    <w:rsid w:val="002E24FB"/>
    <w:rsid w:val="002E3A04"/>
    <w:rsid w:val="00314DAD"/>
    <w:rsid w:val="003240FF"/>
    <w:rsid w:val="00347B2E"/>
    <w:rsid w:val="00365127"/>
    <w:rsid w:val="00377A69"/>
    <w:rsid w:val="003977DB"/>
    <w:rsid w:val="003B1F1B"/>
    <w:rsid w:val="003C7399"/>
    <w:rsid w:val="003E3CF0"/>
    <w:rsid w:val="00404C32"/>
    <w:rsid w:val="004146C5"/>
    <w:rsid w:val="00454218"/>
    <w:rsid w:val="0046685D"/>
    <w:rsid w:val="004A27C1"/>
    <w:rsid w:val="004A5F06"/>
    <w:rsid w:val="004D0A6E"/>
    <w:rsid w:val="00511465"/>
    <w:rsid w:val="005205E2"/>
    <w:rsid w:val="00534FBE"/>
    <w:rsid w:val="00556578"/>
    <w:rsid w:val="005609DE"/>
    <w:rsid w:val="005A4BB5"/>
    <w:rsid w:val="005A7151"/>
    <w:rsid w:val="005B6DBA"/>
    <w:rsid w:val="006263A4"/>
    <w:rsid w:val="006303CC"/>
    <w:rsid w:val="006905E1"/>
    <w:rsid w:val="00691315"/>
    <w:rsid w:val="00692722"/>
    <w:rsid w:val="006D04F3"/>
    <w:rsid w:val="006E242D"/>
    <w:rsid w:val="006F37CE"/>
    <w:rsid w:val="006F4791"/>
    <w:rsid w:val="0070680C"/>
    <w:rsid w:val="007A0637"/>
    <w:rsid w:val="007A0783"/>
    <w:rsid w:val="007A66A3"/>
    <w:rsid w:val="007A7863"/>
    <w:rsid w:val="007B2311"/>
    <w:rsid w:val="00802386"/>
    <w:rsid w:val="0080707C"/>
    <w:rsid w:val="0081223A"/>
    <w:rsid w:val="008168C5"/>
    <w:rsid w:val="008903F9"/>
    <w:rsid w:val="008B660F"/>
    <w:rsid w:val="00915E04"/>
    <w:rsid w:val="0096479B"/>
    <w:rsid w:val="00972DD7"/>
    <w:rsid w:val="009B2F55"/>
    <w:rsid w:val="00A11B07"/>
    <w:rsid w:val="00A3223B"/>
    <w:rsid w:val="00A613B9"/>
    <w:rsid w:val="00A72F9E"/>
    <w:rsid w:val="00AA17FC"/>
    <w:rsid w:val="00AA56F1"/>
    <w:rsid w:val="00AB1022"/>
    <w:rsid w:val="00AC0076"/>
    <w:rsid w:val="00AE7C4D"/>
    <w:rsid w:val="00B00C8F"/>
    <w:rsid w:val="00B04AD4"/>
    <w:rsid w:val="00B24848"/>
    <w:rsid w:val="00B663ED"/>
    <w:rsid w:val="00B71EBD"/>
    <w:rsid w:val="00BA24A2"/>
    <w:rsid w:val="00BB224C"/>
    <w:rsid w:val="00BE6806"/>
    <w:rsid w:val="00C06949"/>
    <w:rsid w:val="00C245E4"/>
    <w:rsid w:val="00C24840"/>
    <w:rsid w:val="00C30E27"/>
    <w:rsid w:val="00CF39AC"/>
    <w:rsid w:val="00D210C9"/>
    <w:rsid w:val="00D31046"/>
    <w:rsid w:val="00D35BC3"/>
    <w:rsid w:val="00D56A74"/>
    <w:rsid w:val="00D75B74"/>
    <w:rsid w:val="00E0482B"/>
    <w:rsid w:val="00E06443"/>
    <w:rsid w:val="00E1142C"/>
    <w:rsid w:val="00E12CE7"/>
    <w:rsid w:val="00E13641"/>
    <w:rsid w:val="00E82814"/>
    <w:rsid w:val="00EA048B"/>
    <w:rsid w:val="00EA30CB"/>
    <w:rsid w:val="00ED6DCE"/>
    <w:rsid w:val="00EE4F89"/>
    <w:rsid w:val="00F177DE"/>
    <w:rsid w:val="00F34E59"/>
    <w:rsid w:val="00F42DD8"/>
    <w:rsid w:val="00F67541"/>
    <w:rsid w:val="00FA1F17"/>
    <w:rsid w:val="00FF55A6"/>
    <w:rsid w:val="00FF56E8"/>
    <w:rsid w:val="01E32EC5"/>
    <w:rsid w:val="02C03FDB"/>
    <w:rsid w:val="0308238D"/>
    <w:rsid w:val="031928E0"/>
    <w:rsid w:val="036E3C38"/>
    <w:rsid w:val="056C0948"/>
    <w:rsid w:val="06E10F43"/>
    <w:rsid w:val="07881B9F"/>
    <w:rsid w:val="0A1F0B76"/>
    <w:rsid w:val="0B252786"/>
    <w:rsid w:val="0C04568C"/>
    <w:rsid w:val="0C1E3E0E"/>
    <w:rsid w:val="0C692860"/>
    <w:rsid w:val="0DF762C6"/>
    <w:rsid w:val="0E9D77C5"/>
    <w:rsid w:val="0F8179A4"/>
    <w:rsid w:val="12F36B33"/>
    <w:rsid w:val="169B06E2"/>
    <w:rsid w:val="17C81741"/>
    <w:rsid w:val="18BD5DC7"/>
    <w:rsid w:val="1ABB0B9C"/>
    <w:rsid w:val="1B6E75FA"/>
    <w:rsid w:val="1D2E43E8"/>
    <w:rsid w:val="1D4E7530"/>
    <w:rsid w:val="1E001B7F"/>
    <w:rsid w:val="1E2D642D"/>
    <w:rsid w:val="1E3F2771"/>
    <w:rsid w:val="1F543363"/>
    <w:rsid w:val="219D034E"/>
    <w:rsid w:val="225966AE"/>
    <w:rsid w:val="238F5395"/>
    <w:rsid w:val="246A7103"/>
    <w:rsid w:val="25CE780B"/>
    <w:rsid w:val="281030A3"/>
    <w:rsid w:val="2869188B"/>
    <w:rsid w:val="28D24E09"/>
    <w:rsid w:val="2A480D4B"/>
    <w:rsid w:val="2E423A93"/>
    <w:rsid w:val="33774306"/>
    <w:rsid w:val="349654F1"/>
    <w:rsid w:val="349938A5"/>
    <w:rsid w:val="34DC1D4B"/>
    <w:rsid w:val="34DE5E6A"/>
    <w:rsid w:val="37531803"/>
    <w:rsid w:val="3CD420BE"/>
    <w:rsid w:val="3D513DAA"/>
    <w:rsid w:val="41B302E9"/>
    <w:rsid w:val="42D17917"/>
    <w:rsid w:val="43495750"/>
    <w:rsid w:val="49D817BC"/>
    <w:rsid w:val="4B733A71"/>
    <w:rsid w:val="4E8C271A"/>
    <w:rsid w:val="4F703568"/>
    <w:rsid w:val="50EE0DCB"/>
    <w:rsid w:val="524C7B80"/>
    <w:rsid w:val="53074794"/>
    <w:rsid w:val="53323EF5"/>
    <w:rsid w:val="53AB5A85"/>
    <w:rsid w:val="55147BB3"/>
    <w:rsid w:val="55ED5B65"/>
    <w:rsid w:val="564331BB"/>
    <w:rsid w:val="56CC34D0"/>
    <w:rsid w:val="585949FB"/>
    <w:rsid w:val="595F393A"/>
    <w:rsid w:val="59CF7769"/>
    <w:rsid w:val="5C4E4CC6"/>
    <w:rsid w:val="5C9F7874"/>
    <w:rsid w:val="5D731C79"/>
    <w:rsid w:val="5DDB64A0"/>
    <w:rsid w:val="5F1E66C7"/>
    <w:rsid w:val="606446D6"/>
    <w:rsid w:val="607627DF"/>
    <w:rsid w:val="610B2B78"/>
    <w:rsid w:val="61242165"/>
    <w:rsid w:val="624A5750"/>
    <w:rsid w:val="65D95D1C"/>
    <w:rsid w:val="66C63041"/>
    <w:rsid w:val="676243CC"/>
    <w:rsid w:val="68F2160C"/>
    <w:rsid w:val="69C72E05"/>
    <w:rsid w:val="6CB97557"/>
    <w:rsid w:val="6E923A94"/>
    <w:rsid w:val="6EA026DB"/>
    <w:rsid w:val="6EB92976"/>
    <w:rsid w:val="724124A1"/>
    <w:rsid w:val="72BA4C79"/>
    <w:rsid w:val="73625DD0"/>
    <w:rsid w:val="73710913"/>
    <w:rsid w:val="74A1378B"/>
    <w:rsid w:val="78CC4910"/>
    <w:rsid w:val="799D3E23"/>
    <w:rsid w:val="7A176706"/>
    <w:rsid w:val="7A5D2F81"/>
    <w:rsid w:val="7B256D15"/>
    <w:rsid w:val="7B7D4E0E"/>
    <w:rsid w:val="7B8B11BD"/>
    <w:rsid w:val="7C680500"/>
    <w:rsid w:val="7F790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qFormat/>
    <w:uiPriority w:val="0"/>
    <w:rPr>
      <w:rFonts w:ascii="Calibri" w:hAnsi="Calibri" w:cs="宋体"/>
      <w:sz w:val="24"/>
    </w:rPr>
  </w:style>
  <w:style w:type="paragraph" w:styleId="3">
    <w:name w:val="Balloon Text"/>
    <w:basedOn w:val="1"/>
    <w:link w:val="16"/>
    <w:semiHidden/>
    <w:unhideWhenUsed/>
    <w:uiPriority w:val="99"/>
    <w:rPr>
      <w:sz w:val="18"/>
      <w:szCs w:val="18"/>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tabs>
        <w:tab w:val="center" w:pos="4153"/>
        <w:tab w:val="right" w:pos="8306"/>
      </w:tabs>
      <w:snapToGrid w:val="0"/>
    </w:pPr>
    <w:rPr>
      <w:sz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9">
    <w:name w:val="Strong"/>
    <w:qFormat/>
    <w:uiPriority w:val="22"/>
    <w:rPr>
      <w:b/>
    </w:rPr>
  </w:style>
  <w:style w:type="character" w:customStyle="1" w:styleId="10">
    <w:name w:val="apple-style-span"/>
    <w:uiPriority w:val="0"/>
    <w:rPr>
      <w:sz w:val="32"/>
      <w:szCs w:val="32"/>
    </w:rPr>
  </w:style>
  <w:style w:type="character" w:customStyle="1" w:styleId="11">
    <w:name w:val="正文文本 Char"/>
    <w:link w:val="2"/>
    <w:uiPriority w:val="0"/>
    <w:rPr>
      <w:rFonts w:ascii="Calibri" w:hAnsi="Calibri" w:eastAsia="宋体" w:cs="宋体"/>
      <w:kern w:val="2"/>
      <w:sz w:val="24"/>
      <w:szCs w:val="24"/>
    </w:rPr>
  </w:style>
  <w:style w:type="paragraph" w:customStyle="1" w:styleId="12">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p0"/>
    <w:basedOn w:val="1"/>
    <w:uiPriority w:val="0"/>
    <w:pPr>
      <w:widowControl/>
    </w:pPr>
    <w:rPr>
      <w:kern w:val="0"/>
      <w:szCs w:val="21"/>
    </w:rPr>
  </w:style>
  <w:style w:type="character" w:customStyle="1" w:styleId="16">
    <w:name w:val="批注框文本 Char"/>
    <w:basedOn w:val="8"/>
    <w:link w:val="3"/>
    <w:semiHidden/>
    <w:uiPriority w:val="99"/>
    <w:rPr>
      <w:kern w:val="2"/>
      <w:sz w:val="18"/>
      <w:szCs w:val="18"/>
    </w:rPr>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6145"/>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B22717-03F6-48F0-A1DE-7422AFF77FC2}">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9</Pages>
  <Words>755</Words>
  <Characters>4310</Characters>
  <Lines>35</Lines>
  <Paragraphs>10</Paragraphs>
  <TotalTime>267</TotalTime>
  <ScaleCrop>false</ScaleCrop>
  <LinksUpToDate>false</LinksUpToDate>
  <CharactersWithSpaces>5055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2020-11-13T08:20:00Z</dcterms:created>
  <dc:creator>黄轶</dc:creator>
  <cp:lastModifiedBy>孙刚</cp:lastModifiedBy>
  <cp:lastPrinted>2020-12-16T01:48:00Z</cp:lastPrinted>
  <dcterms:modified xsi:type="dcterms:W3CDTF">2020-12-23T03:32:43Z</dcterms:modified>
  <dc:title>湘政法〔2011〕  号                    签发人：许显辉</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