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32"/>
          <w:szCs w:val="36"/>
        </w:rPr>
      </w:pPr>
      <w:bookmarkStart w:id="0" w:name="_GoBack"/>
      <w:bookmarkEnd w:id="0"/>
      <w:r>
        <w:rPr>
          <w:rFonts w:hint="eastAsia" w:ascii="黑体" w:hAnsi="宋体" w:eastAsia="黑体"/>
          <w:sz w:val="32"/>
          <w:szCs w:val="36"/>
        </w:rPr>
        <w:t>附件1</w:t>
      </w:r>
    </w:p>
    <w:p>
      <w:pPr>
        <w:adjustRightInd w:val="0"/>
        <w:snapToGrid w:val="0"/>
        <w:spacing w:line="360" w:lineRule="auto"/>
        <w:ind w:firstLine="640" w:firstLineChars="200"/>
        <w:rPr>
          <w:rFonts w:ascii="仿宋_GB2312" w:hAnsi="宋体" w:eastAsia="仿宋_GB2312"/>
          <w:sz w:val="32"/>
          <w:szCs w:val="32"/>
        </w:rPr>
      </w:pPr>
    </w:p>
    <w:p>
      <w:pPr>
        <w:jc w:val="center"/>
        <w:rPr>
          <w:rFonts w:ascii="黑体" w:hAnsi="宋体" w:eastAsia="黑体"/>
          <w:sz w:val="36"/>
          <w:szCs w:val="36"/>
        </w:rPr>
      </w:pPr>
      <w:r>
        <w:rPr>
          <w:rFonts w:hint="eastAsia" w:ascii="黑体" w:hAnsi="宋体" w:eastAsia="黑体"/>
          <w:sz w:val="36"/>
          <w:szCs w:val="36"/>
        </w:rPr>
        <w:t>各省、自治区、直辖市电力系统参考备用率</w:t>
      </w:r>
    </w:p>
    <w:p>
      <w:pPr>
        <w:jc w:val="center"/>
        <w:rPr>
          <w:rFonts w:ascii="黑体" w:hAnsi="宋体" w:eastAsia="黑体"/>
          <w:sz w:val="36"/>
          <w:szCs w:val="36"/>
        </w:rPr>
      </w:pPr>
    </w:p>
    <w:tbl>
      <w:tblPr>
        <w:tblStyle w:val="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11"/>
        <w:gridCol w:w="29"/>
        <w:gridCol w:w="882"/>
        <w:gridCol w:w="1019"/>
        <w:gridCol w:w="1613"/>
        <w:gridCol w:w="161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blHeader/>
        </w:trPr>
        <w:tc>
          <w:tcPr>
            <w:tcW w:w="1080" w:type="dxa"/>
            <w:shd w:val="clear" w:color="auto" w:fill="auto"/>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序号</w:t>
            </w:r>
          </w:p>
        </w:tc>
        <w:tc>
          <w:tcPr>
            <w:tcW w:w="1822" w:type="dxa"/>
            <w:gridSpan w:val="3"/>
            <w:shd w:val="clear" w:color="auto" w:fill="auto"/>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地区</w:t>
            </w:r>
          </w:p>
        </w:tc>
        <w:tc>
          <w:tcPr>
            <w:tcW w:w="1019" w:type="dxa"/>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合理</w:t>
            </w:r>
          </w:p>
          <w:p>
            <w:pPr>
              <w:widowControl/>
              <w:jc w:val="center"/>
              <w:rPr>
                <w:rFonts w:eastAsia="仿宋_GB2312"/>
                <w:b/>
                <w:bCs/>
                <w:color w:val="000000"/>
                <w:kern w:val="0"/>
                <w:sz w:val="24"/>
                <w:szCs w:val="21"/>
              </w:rPr>
            </w:pPr>
            <w:r>
              <w:rPr>
                <w:rFonts w:hint="eastAsia" w:eastAsia="仿宋_GB2312"/>
                <w:b/>
                <w:bCs/>
                <w:color w:val="000000"/>
                <w:kern w:val="0"/>
                <w:sz w:val="24"/>
                <w:szCs w:val="21"/>
              </w:rPr>
              <w:t>备用率</w:t>
            </w:r>
          </w:p>
        </w:tc>
        <w:tc>
          <w:tcPr>
            <w:tcW w:w="1613" w:type="dxa"/>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绿色区间</w:t>
            </w:r>
          </w:p>
        </w:tc>
        <w:tc>
          <w:tcPr>
            <w:tcW w:w="1613" w:type="dxa"/>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橙色区间</w:t>
            </w:r>
          </w:p>
        </w:tc>
        <w:tc>
          <w:tcPr>
            <w:tcW w:w="1611" w:type="dxa"/>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红色区间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黑龙江</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15-16%</w:t>
            </w:r>
          </w:p>
        </w:tc>
        <w:tc>
          <w:tcPr>
            <w:tcW w:w="1611" w:type="dxa"/>
            <w:vAlign w:val="center"/>
          </w:tcPr>
          <w:p>
            <w:pPr>
              <w:widowControl/>
              <w:jc w:val="center"/>
              <w:rPr>
                <w:rFonts w:eastAsia="仿宋_GB2312"/>
                <w:kern w:val="0"/>
                <w:sz w:val="24"/>
                <w:szCs w:val="21"/>
              </w:rPr>
            </w:pPr>
            <w:r>
              <w:rPr>
                <w:rFonts w:eastAsia="仿宋_GB2312"/>
                <w:kern w:val="0"/>
                <w:sz w:val="24"/>
                <w:szCs w:val="21"/>
              </w:rPr>
              <w:t>&gt;16%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吉林</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15-17%</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3</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辽宁</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eastAsia="仿宋_GB2312"/>
                <w:kern w:val="0"/>
                <w:sz w:val="24"/>
                <w:szCs w:val="21"/>
              </w:rPr>
              <w:t>14-17%</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4</w:t>
            </w:r>
          </w:p>
        </w:tc>
        <w:tc>
          <w:tcPr>
            <w:tcW w:w="940" w:type="dxa"/>
            <w:gridSpan w:val="2"/>
            <w:vMerge w:val="restart"/>
            <w:shd w:val="clear" w:color="auto" w:fill="auto"/>
            <w:vAlign w:val="center"/>
          </w:tcPr>
          <w:p>
            <w:pPr>
              <w:widowControl/>
              <w:jc w:val="center"/>
              <w:rPr>
                <w:rFonts w:eastAsia="仿宋_GB2312"/>
                <w:kern w:val="0"/>
                <w:sz w:val="24"/>
                <w:szCs w:val="21"/>
              </w:rPr>
            </w:pPr>
            <w:r>
              <w:rPr>
                <w:rFonts w:hint="eastAsia" w:eastAsia="仿宋_GB2312"/>
                <w:kern w:val="0"/>
                <w:sz w:val="24"/>
                <w:szCs w:val="21"/>
              </w:rPr>
              <w:t>内蒙古</w:t>
            </w:r>
          </w:p>
        </w:tc>
        <w:tc>
          <w:tcPr>
            <w:tcW w:w="882" w:type="dxa"/>
            <w:shd w:val="clear" w:color="auto" w:fill="auto"/>
            <w:vAlign w:val="center"/>
          </w:tcPr>
          <w:p>
            <w:pPr>
              <w:widowControl/>
              <w:jc w:val="center"/>
              <w:rPr>
                <w:rFonts w:eastAsia="仿宋_GB2312"/>
                <w:kern w:val="0"/>
                <w:sz w:val="24"/>
                <w:szCs w:val="21"/>
              </w:rPr>
            </w:pPr>
            <w:r>
              <w:rPr>
                <w:rFonts w:hint="eastAsia" w:eastAsia="仿宋_GB2312"/>
                <w:kern w:val="0"/>
                <w:sz w:val="24"/>
                <w:szCs w:val="21"/>
              </w:rPr>
              <w:t>蒙东</w:t>
            </w:r>
          </w:p>
        </w:tc>
        <w:tc>
          <w:tcPr>
            <w:tcW w:w="1019" w:type="dxa"/>
            <w:shd w:val="clear" w:color="auto" w:fill="auto"/>
            <w:vAlign w:val="center"/>
          </w:tcPr>
          <w:p>
            <w:pPr>
              <w:widowControl/>
              <w:jc w:val="center"/>
              <w:rPr>
                <w:rFonts w:eastAsia="仿宋_GB2312"/>
                <w:kern w:val="0"/>
                <w:sz w:val="24"/>
                <w:szCs w:val="21"/>
              </w:rPr>
            </w:pP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19%</w:t>
            </w:r>
          </w:p>
        </w:tc>
        <w:tc>
          <w:tcPr>
            <w:tcW w:w="1613" w:type="dxa"/>
            <w:vAlign w:val="center"/>
          </w:tcPr>
          <w:p>
            <w:pPr>
              <w:widowControl/>
              <w:jc w:val="center"/>
              <w:rPr>
                <w:rFonts w:eastAsia="仿宋_GB2312"/>
                <w:kern w:val="0"/>
                <w:sz w:val="24"/>
                <w:szCs w:val="21"/>
              </w:rPr>
            </w:pPr>
            <w:r>
              <w:rPr>
                <w:rFonts w:eastAsia="仿宋_GB2312"/>
                <w:kern w:val="0"/>
                <w:sz w:val="24"/>
                <w:szCs w:val="21"/>
              </w:rPr>
              <w:t>19-20%</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5</w:t>
            </w:r>
          </w:p>
        </w:tc>
        <w:tc>
          <w:tcPr>
            <w:tcW w:w="940" w:type="dxa"/>
            <w:gridSpan w:val="2"/>
            <w:vMerge w:val="continue"/>
            <w:vAlign w:val="center"/>
          </w:tcPr>
          <w:p>
            <w:pPr>
              <w:keepNext/>
              <w:keepLines/>
              <w:widowControl/>
              <w:spacing w:before="340" w:after="330" w:line="578" w:lineRule="auto"/>
              <w:jc w:val="left"/>
              <w:rPr>
                <w:rFonts w:eastAsia="仿宋_GB2312"/>
                <w:kern w:val="0"/>
                <w:sz w:val="24"/>
                <w:szCs w:val="21"/>
              </w:rPr>
            </w:pPr>
          </w:p>
        </w:tc>
        <w:tc>
          <w:tcPr>
            <w:tcW w:w="882" w:type="dxa"/>
            <w:shd w:val="clear" w:color="auto" w:fill="auto"/>
            <w:vAlign w:val="center"/>
          </w:tcPr>
          <w:p>
            <w:pPr>
              <w:widowControl/>
              <w:jc w:val="center"/>
              <w:rPr>
                <w:rFonts w:eastAsia="仿宋_GB2312"/>
                <w:kern w:val="0"/>
                <w:sz w:val="24"/>
                <w:szCs w:val="21"/>
              </w:rPr>
            </w:pPr>
            <w:r>
              <w:rPr>
                <w:rFonts w:hint="eastAsia" w:eastAsia="仿宋_GB2312"/>
                <w:kern w:val="0"/>
                <w:sz w:val="24"/>
                <w:szCs w:val="21"/>
              </w:rPr>
              <w:t>蒙西</w:t>
            </w:r>
          </w:p>
        </w:tc>
        <w:tc>
          <w:tcPr>
            <w:tcW w:w="1019" w:type="dxa"/>
            <w:shd w:val="clear" w:color="auto" w:fill="auto"/>
            <w:vAlign w:val="center"/>
          </w:tcPr>
          <w:p>
            <w:pPr>
              <w:widowControl/>
              <w:jc w:val="center"/>
              <w:rPr>
                <w:rFonts w:eastAsia="仿宋_GB2312"/>
                <w:kern w:val="0"/>
                <w:sz w:val="24"/>
                <w:szCs w:val="21"/>
              </w:rPr>
            </w:pP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16%</w:t>
            </w:r>
          </w:p>
        </w:tc>
        <w:tc>
          <w:tcPr>
            <w:tcW w:w="1613" w:type="dxa"/>
            <w:vAlign w:val="center"/>
          </w:tcPr>
          <w:p>
            <w:pPr>
              <w:widowControl/>
              <w:jc w:val="center"/>
              <w:rPr>
                <w:rFonts w:eastAsia="仿宋_GB2312"/>
                <w:kern w:val="0"/>
                <w:sz w:val="24"/>
                <w:szCs w:val="21"/>
              </w:rPr>
            </w:pPr>
            <w:r>
              <w:rPr>
                <w:rFonts w:eastAsia="仿宋_GB2312"/>
                <w:kern w:val="0"/>
                <w:sz w:val="24"/>
                <w:szCs w:val="21"/>
              </w:rPr>
              <w:t>16-21%</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6</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北京</w:t>
            </w:r>
          </w:p>
        </w:tc>
        <w:tc>
          <w:tcPr>
            <w:tcW w:w="1019" w:type="dxa"/>
            <w:vAlign w:val="center"/>
          </w:tcPr>
          <w:p>
            <w:pPr>
              <w:widowControl/>
              <w:jc w:val="center"/>
              <w:rPr>
                <w:rFonts w:eastAsia="仿宋_GB2312"/>
                <w:kern w:val="0"/>
                <w:sz w:val="24"/>
                <w:szCs w:val="21"/>
              </w:rPr>
            </w:pP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w:t>
            </w:r>
          </w:p>
        </w:tc>
        <w:tc>
          <w:tcPr>
            <w:tcW w:w="1613" w:type="dxa"/>
            <w:vAlign w:val="center"/>
          </w:tcPr>
          <w:p>
            <w:pPr>
              <w:widowControl/>
              <w:jc w:val="center"/>
              <w:rPr>
                <w:rFonts w:eastAsia="仿宋_GB2312"/>
                <w:kern w:val="0"/>
                <w:sz w:val="24"/>
                <w:szCs w:val="21"/>
              </w:rPr>
            </w:pPr>
            <w:r>
              <w:rPr>
                <w:rFonts w:eastAsia="仿宋_GB2312"/>
                <w:kern w:val="0"/>
                <w:sz w:val="24"/>
                <w:szCs w:val="21"/>
              </w:rPr>
              <w:t>-</w:t>
            </w:r>
          </w:p>
        </w:tc>
        <w:tc>
          <w:tcPr>
            <w:tcW w:w="1611" w:type="dxa"/>
            <w:vAlign w:val="center"/>
          </w:tcPr>
          <w:p>
            <w:pPr>
              <w:widowControl/>
              <w:jc w:val="center"/>
              <w:rPr>
                <w:rFonts w:eastAsia="仿宋_GB2312"/>
                <w:kern w:val="0"/>
                <w:sz w:val="24"/>
                <w:szCs w:val="21"/>
              </w:rPr>
            </w:pPr>
            <w:r>
              <w:rPr>
                <w:rFonts w:eastAsia="仿宋_GB2312"/>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7</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天津</w:t>
            </w:r>
          </w:p>
        </w:tc>
        <w:tc>
          <w:tcPr>
            <w:tcW w:w="1019" w:type="dxa"/>
            <w:tcBorders>
              <w:bottom w:val="single" w:color="auto" w:sz="4" w:space="0"/>
            </w:tcBorders>
            <w:vAlign w:val="center"/>
          </w:tcPr>
          <w:p>
            <w:pPr>
              <w:widowControl/>
              <w:jc w:val="center"/>
              <w:rPr>
                <w:rFonts w:eastAsia="仿宋_GB2312"/>
                <w:kern w:val="0"/>
                <w:sz w:val="24"/>
                <w:szCs w:val="21"/>
              </w:rPr>
            </w:pPr>
            <w:r>
              <w:rPr>
                <w:rFonts w:eastAsia="仿宋_GB2312"/>
                <w:kern w:val="0"/>
                <w:sz w:val="24"/>
                <w:szCs w:val="21"/>
              </w:rPr>
              <w:t>15%</w:t>
            </w:r>
          </w:p>
        </w:tc>
        <w:tc>
          <w:tcPr>
            <w:tcW w:w="1613" w:type="dxa"/>
            <w:tcBorders>
              <w:bottom w:val="single" w:color="auto" w:sz="4" w:space="0"/>
            </w:tcBorders>
            <w:vAlign w:val="center"/>
          </w:tcPr>
          <w:p>
            <w:pPr>
              <w:widowControl/>
              <w:jc w:val="center"/>
              <w:rPr>
                <w:rFonts w:eastAsia="仿宋_GB2312"/>
                <w:kern w:val="0"/>
                <w:sz w:val="24"/>
                <w:szCs w:val="21"/>
              </w:rPr>
            </w:pPr>
            <w:r>
              <w:rPr>
                <w:rFonts w:hint="eastAsia" w:eastAsia="仿宋_GB2312"/>
                <w:kern w:val="0"/>
                <w:sz w:val="24"/>
                <w:szCs w:val="21"/>
              </w:rPr>
              <w:t>≤19</w:t>
            </w:r>
            <w:r>
              <w:rPr>
                <w:rFonts w:eastAsia="仿宋_GB2312"/>
                <w:kern w:val="0"/>
                <w:sz w:val="24"/>
                <w:szCs w:val="21"/>
              </w:rPr>
              <w:t>%</w:t>
            </w:r>
          </w:p>
        </w:tc>
        <w:tc>
          <w:tcPr>
            <w:tcW w:w="1613" w:type="dxa"/>
            <w:tcBorders>
              <w:bottom w:val="single" w:color="auto" w:sz="4" w:space="0"/>
            </w:tcBorders>
            <w:vAlign w:val="center"/>
          </w:tcPr>
          <w:p>
            <w:pPr>
              <w:widowControl/>
              <w:jc w:val="center"/>
              <w:rPr>
                <w:rFonts w:eastAsia="仿宋_GB2312"/>
                <w:kern w:val="0"/>
                <w:sz w:val="24"/>
                <w:szCs w:val="21"/>
              </w:rPr>
            </w:pPr>
            <w:r>
              <w:rPr>
                <w:rFonts w:eastAsia="仿宋_GB2312"/>
                <w:kern w:val="0"/>
                <w:sz w:val="24"/>
                <w:szCs w:val="21"/>
              </w:rPr>
              <w:t>19-20%</w:t>
            </w:r>
          </w:p>
        </w:tc>
        <w:tc>
          <w:tcPr>
            <w:tcW w:w="1611" w:type="dxa"/>
            <w:tcBorders>
              <w:bottom w:val="single" w:color="auto" w:sz="4" w:space="0"/>
            </w:tcBorders>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8</w:t>
            </w:r>
          </w:p>
        </w:tc>
        <w:tc>
          <w:tcPr>
            <w:tcW w:w="911" w:type="dxa"/>
            <w:vMerge w:val="restart"/>
            <w:tcBorders>
              <w:right w:val="single" w:color="auto" w:sz="4" w:space="0"/>
            </w:tcBorders>
            <w:shd w:val="clear" w:color="auto" w:fill="auto"/>
            <w:vAlign w:val="center"/>
          </w:tcPr>
          <w:p>
            <w:pPr>
              <w:widowControl/>
              <w:jc w:val="center"/>
              <w:rPr>
                <w:rFonts w:eastAsia="仿宋_GB2312"/>
                <w:kern w:val="0"/>
                <w:sz w:val="24"/>
                <w:szCs w:val="21"/>
              </w:rPr>
            </w:pPr>
            <w:r>
              <w:rPr>
                <w:rFonts w:hint="eastAsia" w:eastAsia="仿宋_GB2312"/>
                <w:kern w:val="0"/>
                <w:sz w:val="24"/>
                <w:szCs w:val="21"/>
              </w:rPr>
              <w:t>河北</w:t>
            </w:r>
          </w:p>
        </w:tc>
        <w:tc>
          <w:tcPr>
            <w:tcW w:w="911" w:type="dxa"/>
            <w:gridSpan w:val="2"/>
            <w:tcBorders>
              <w:right w:val="single" w:color="auto" w:sz="4" w:space="0"/>
            </w:tcBorders>
            <w:shd w:val="clear" w:color="auto" w:fill="auto"/>
            <w:vAlign w:val="center"/>
          </w:tcPr>
          <w:p>
            <w:pPr>
              <w:widowControl/>
              <w:jc w:val="center"/>
              <w:rPr>
                <w:rFonts w:eastAsia="仿宋_GB2312"/>
                <w:kern w:val="0"/>
                <w:sz w:val="24"/>
                <w:szCs w:val="21"/>
              </w:rPr>
            </w:pPr>
            <w:r>
              <w:rPr>
                <w:rFonts w:eastAsia="仿宋_GB2312"/>
                <w:kern w:val="0"/>
                <w:sz w:val="24"/>
                <w:szCs w:val="21"/>
              </w:rPr>
              <w:t>冀北</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szCs w:val="21"/>
              </w:rPr>
            </w:pPr>
            <w:r>
              <w:rPr>
                <w:rFonts w:eastAsia="仿宋_GB2312"/>
                <w:kern w:val="0"/>
                <w:sz w:val="24"/>
                <w:szCs w:val="21"/>
              </w:rPr>
              <w:t>13%</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15-17%</w:t>
            </w:r>
          </w:p>
        </w:tc>
        <w:tc>
          <w:tcPr>
            <w:tcW w:w="16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hint="eastAsia" w:eastAsia="仿宋_GB2312"/>
                <w:kern w:val="0"/>
                <w:sz w:val="24"/>
                <w:szCs w:val="21"/>
              </w:rPr>
              <w:t>≥1</w:t>
            </w:r>
            <w:r>
              <w:rPr>
                <w:rFonts w:eastAsia="仿宋_GB2312"/>
                <w:kern w:val="0"/>
                <w:sz w:val="24"/>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hint="eastAsia" w:eastAsia="仿宋_GB2312"/>
                <w:kern w:val="0"/>
                <w:sz w:val="24"/>
                <w:szCs w:val="21"/>
              </w:rPr>
              <w:t>9</w:t>
            </w:r>
          </w:p>
        </w:tc>
        <w:tc>
          <w:tcPr>
            <w:tcW w:w="911" w:type="dxa"/>
            <w:vMerge w:val="continue"/>
            <w:tcBorders>
              <w:right w:val="single" w:color="auto" w:sz="4" w:space="0"/>
            </w:tcBorders>
            <w:shd w:val="clear" w:color="auto" w:fill="auto"/>
            <w:vAlign w:val="center"/>
          </w:tcPr>
          <w:p>
            <w:pPr>
              <w:widowControl/>
              <w:jc w:val="center"/>
              <w:rPr>
                <w:rFonts w:eastAsia="仿宋_GB2312"/>
                <w:kern w:val="0"/>
                <w:sz w:val="24"/>
                <w:szCs w:val="21"/>
              </w:rPr>
            </w:pPr>
          </w:p>
        </w:tc>
        <w:tc>
          <w:tcPr>
            <w:tcW w:w="911" w:type="dxa"/>
            <w:gridSpan w:val="2"/>
            <w:tcBorders>
              <w:right w:val="single" w:color="auto" w:sz="4" w:space="0"/>
            </w:tcBorders>
            <w:shd w:val="clear" w:color="auto" w:fill="auto"/>
            <w:vAlign w:val="center"/>
          </w:tcPr>
          <w:p>
            <w:pPr>
              <w:widowControl/>
              <w:jc w:val="center"/>
              <w:rPr>
                <w:rFonts w:eastAsia="仿宋_GB2312"/>
                <w:kern w:val="0"/>
                <w:sz w:val="24"/>
                <w:szCs w:val="21"/>
              </w:rPr>
            </w:pPr>
            <w:r>
              <w:rPr>
                <w:rFonts w:eastAsia="仿宋_GB2312"/>
                <w:kern w:val="0"/>
                <w:sz w:val="24"/>
                <w:szCs w:val="21"/>
              </w:rPr>
              <w:t>冀南</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szCs w:val="21"/>
              </w:rPr>
            </w:pPr>
            <w:r>
              <w:rPr>
                <w:rFonts w:eastAsia="仿宋_GB2312"/>
                <w:kern w:val="0"/>
                <w:sz w:val="24"/>
                <w:szCs w:val="21"/>
              </w:rPr>
              <w:t>13%</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14%</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14-18%</w:t>
            </w:r>
          </w:p>
        </w:tc>
        <w:tc>
          <w:tcPr>
            <w:tcW w:w="16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hint="eastAsia" w:eastAsia="仿宋_GB2312"/>
                <w:kern w:val="0"/>
                <w:sz w:val="24"/>
                <w:szCs w:val="21"/>
              </w:rPr>
              <w:t>≥1</w:t>
            </w:r>
            <w:r>
              <w:rPr>
                <w:rFonts w:eastAsia="仿宋_GB2312"/>
                <w:kern w:val="0"/>
                <w:sz w:val="24"/>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10</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山东</w:t>
            </w:r>
          </w:p>
        </w:tc>
        <w:tc>
          <w:tcPr>
            <w:tcW w:w="1019" w:type="dxa"/>
            <w:tcBorders>
              <w:top w:val="single" w:color="auto" w:sz="4" w:space="0"/>
            </w:tcBorders>
            <w:vAlign w:val="center"/>
          </w:tcPr>
          <w:p>
            <w:pPr>
              <w:widowControl/>
              <w:jc w:val="center"/>
              <w:rPr>
                <w:rFonts w:eastAsia="仿宋_GB2312"/>
                <w:kern w:val="0"/>
                <w:sz w:val="24"/>
                <w:szCs w:val="21"/>
              </w:rPr>
            </w:pPr>
            <w:r>
              <w:rPr>
                <w:rFonts w:eastAsia="仿宋_GB2312"/>
                <w:kern w:val="0"/>
                <w:sz w:val="24"/>
                <w:szCs w:val="21"/>
              </w:rPr>
              <w:t>13%</w:t>
            </w:r>
          </w:p>
        </w:tc>
        <w:tc>
          <w:tcPr>
            <w:tcW w:w="1613" w:type="dxa"/>
            <w:tcBorders>
              <w:top w:val="single" w:color="auto" w:sz="4" w:space="0"/>
            </w:tcBorders>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14%</w:t>
            </w:r>
          </w:p>
        </w:tc>
        <w:tc>
          <w:tcPr>
            <w:tcW w:w="1613" w:type="dxa"/>
            <w:tcBorders>
              <w:top w:val="single" w:color="auto" w:sz="4" w:space="0"/>
            </w:tcBorders>
            <w:vAlign w:val="center"/>
          </w:tcPr>
          <w:p>
            <w:pPr>
              <w:widowControl/>
              <w:jc w:val="center"/>
              <w:rPr>
                <w:rFonts w:eastAsia="仿宋_GB2312"/>
                <w:kern w:val="0"/>
                <w:sz w:val="24"/>
                <w:szCs w:val="21"/>
              </w:rPr>
            </w:pPr>
            <w:r>
              <w:rPr>
                <w:rFonts w:eastAsia="仿宋_GB2312"/>
                <w:kern w:val="0"/>
                <w:sz w:val="24"/>
                <w:szCs w:val="21"/>
              </w:rPr>
              <w:t>14-17%</w:t>
            </w:r>
          </w:p>
        </w:tc>
        <w:tc>
          <w:tcPr>
            <w:tcW w:w="1611" w:type="dxa"/>
            <w:tcBorders>
              <w:top w:val="single" w:color="auto" w:sz="4" w:space="0"/>
            </w:tcBorders>
            <w:vAlign w:val="center"/>
          </w:tcPr>
          <w:p>
            <w:pPr>
              <w:widowControl/>
              <w:jc w:val="center"/>
              <w:rPr>
                <w:rFonts w:eastAsia="仿宋_GB2312"/>
                <w:kern w:val="0"/>
                <w:sz w:val="24"/>
                <w:szCs w:val="21"/>
              </w:rPr>
            </w:pPr>
            <w:r>
              <w:rPr>
                <w:rFonts w:hint="eastAsia" w:eastAsia="仿宋_GB2312"/>
                <w:kern w:val="0"/>
                <w:sz w:val="24"/>
                <w:szCs w:val="21"/>
              </w:rPr>
              <w:t>≥1</w:t>
            </w:r>
            <w:r>
              <w:rPr>
                <w:rFonts w:eastAsia="仿宋_GB2312"/>
                <w:kern w:val="0"/>
                <w:sz w:val="24"/>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11</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山西</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15-19%</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≥1</w:t>
            </w:r>
            <w:r>
              <w:rPr>
                <w:rFonts w:eastAsia="仿宋_GB2312"/>
                <w:kern w:val="0"/>
                <w:sz w:val="24"/>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12</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陕西</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15-18%</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13</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甘肃</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15-18%</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14</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青海</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16%</w:t>
            </w:r>
          </w:p>
        </w:tc>
        <w:tc>
          <w:tcPr>
            <w:tcW w:w="1613" w:type="dxa"/>
            <w:vAlign w:val="center"/>
          </w:tcPr>
          <w:p>
            <w:pPr>
              <w:widowControl/>
              <w:jc w:val="center"/>
              <w:rPr>
                <w:rFonts w:eastAsia="仿宋_GB2312"/>
                <w:kern w:val="0"/>
                <w:sz w:val="24"/>
                <w:szCs w:val="21"/>
              </w:rPr>
            </w:pPr>
            <w:r>
              <w:rPr>
                <w:rFonts w:eastAsia="仿宋_GB2312"/>
                <w:kern w:val="0"/>
                <w:sz w:val="24"/>
                <w:szCs w:val="21"/>
              </w:rPr>
              <w:t>16-18%</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15</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宁夏</w:t>
            </w:r>
          </w:p>
        </w:tc>
        <w:tc>
          <w:tcPr>
            <w:tcW w:w="1019" w:type="dxa"/>
            <w:vAlign w:val="center"/>
          </w:tcPr>
          <w:p>
            <w:pPr>
              <w:widowControl/>
              <w:jc w:val="center"/>
              <w:rPr>
                <w:rFonts w:eastAsia="仿宋_GB2312"/>
                <w:kern w:val="0"/>
                <w:sz w:val="24"/>
                <w:szCs w:val="21"/>
              </w:rPr>
            </w:pP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≤1</w:t>
            </w:r>
            <w:r>
              <w:rPr>
                <w:rFonts w:eastAsia="仿宋_GB2312"/>
                <w:kern w:val="0"/>
                <w:sz w:val="24"/>
                <w:szCs w:val="21"/>
              </w:rPr>
              <w:t>8%</w:t>
            </w:r>
          </w:p>
        </w:tc>
        <w:tc>
          <w:tcPr>
            <w:tcW w:w="1613" w:type="dxa"/>
            <w:vAlign w:val="center"/>
          </w:tcPr>
          <w:p>
            <w:pPr>
              <w:widowControl/>
              <w:jc w:val="center"/>
              <w:rPr>
                <w:rFonts w:eastAsia="仿宋_GB2312"/>
                <w:kern w:val="0"/>
                <w:sz w:val="24"/>
                <w:szCs w:val="21"/>
              </w:rPr>
            </w:pPr>
            <w:r>
              <w:rPr>
                <w:rFonts w:eastAsia="仿宋_GB2312"/>
                <w:kern w:val="0"/>
                <w:sz w:val="24"/>
                <w:szCs w:val="21"/>
              </w:rPr>
              <w:t>18-20%</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16</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新疆</w:t>
            </w:r>
          </w:p>
        </w:tc>
        <w:tc>
          <w:tcPr>
            <w:tcW w:w="1019" w:type="dxa"/>
            <w:vAlign w:val="center"/>
          </w:tcPr>
          <w:p>
            <w:pPr>
              <w:widowControl/>
              <w:jc w:val="center"/>
              <w:rPr>
                <w:rFonts w:eastAsia="仿宋_GB2312"/>
                <w:kern w:val="0"/>
                <w:sz w:val="24"/>
                <w:szCs w:val="21"/>
              </w:rPr>
            </w:pP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17%</w:t>
            </w:r>
          </w:p>
        </w:tc>
        <w:tc>
          <w:tcPr>
            <w:tcW w:w="1613" w:type="dxa"/>
            <w:vAlign w:val="center"/>
          </w:tcPr>
          <w:p>
            <w:pPr>
              <w:widowControl/>
              <w:jc w:val="center"/>
              <w:rPr>
                <w:rFonts w:eastAsia="仿宋_GB2312"/>
                <w:kern w:val="0"/>
                <w:sz w:val="24"/>
                <w:szCs w:val="21"/>
              </w:rPr>
            </w:pPr>
            <w:r>
              <w:rPr>
                <w:rFonts w:eastAsia="仿宋_GB2312"/>
                <w:kern w:val="0"/>
                <w:sz w:val="24"/>
                <w:szCs w:val="21"/>
              </w:rPr>
              <w:t>17-22%</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17</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河南</w:t>
            </w:r>
          </w:p>
        </w:tc>
        <w:tc>
          <w:tcPr>
            <w:tcW w:w="1019" w:type="dxa"/>
            <w:vAlign w:val="center"/>
          </w:tcPr>
          <w:p>
            <w:pPr>
              <w:widowControl/>
              <w:jc w:val="center"/>
              <w:rPr>
                <w:rFonts w:eastAsia="仿宋_GB2312"/>
                <w:kern w:val="0"/>
                <w:sz w:val="24"/>
                <w:szCs w:val="21"/>
              </w:rPr>
            </w:pP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15-19%</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18</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湖北</w:t>
            </w:r>
          </w:p>
        </w:tc>
        <w:tc>
          <w:tcPr>
            <w:tcW w:w="1019" w:type="dxa"/>
            <w:vAlign w:val="center"/>
          </w:tcPr>
          <w:p>
            <w:pPr>
              <w:widowControl/>
              <w:jc w:val="center"/>
              <w:rPr>
                <w:rFonts w:eastAsia="仿宋_GB2312"/>
                <w:kern w:val="0"/>
                <w:sz w:val="24"/>
                <w:szCs w:val="21"/>
              </w:rPr>
            </w:pP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16%</w:t>
            </w:r>
          </w:p>
        </w:tc>
        <w:tc>
          <w:tcPr>
            <w:tcW w:w="1613" w:type="dxa"/>
            <w:vAlign w:val="center"/>
          </w:tcPr>
          <w:p>
            <w:pPr>
              <w:widowControl/>
              <w:jc w:val="center"/>
              <w:rPr>
                <w:rFonts w:eastAsia="仿宋_GB2312"/>
                <w:kern w:val="0"/>
                <w:sz w:val="24"/>
                <w:szCs w:val="21"/>
              </w:rPr>
            </w:pPr>
            <w:r>
              <w:rPr>
                <w:rFonts w:eastAsia="仿宋_GB2312"/>
                <w:kern w:val="0"/>
                <w:sz w:val="24"/>
                <w:szCs w:val="21"/>
              </w:rPr>
              <w:t>16-20%</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19</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湖南</w:t>
            </w:r>
          </w:p>
        </w:tc>
        <w:tc>
          <w:tcPr>
            <w:tcW w:w="1019" w:type="dxa"/>
            <w:vAlign w:val="center"/>
          </w:tcPr>
          <w:p>
            <w:pPr>
              <w:widowControl/>
              <w:jc w:val="center"/>
              <w:rPr>
                <w:rFonts w:eastAsia="仿宋_GB2312"/>
                <w:kern w:val="0"/>
                <w:sz w:val="24"/>
                <w:szCs w:val="21"/>
              </w:rPr>
            </w:pP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16%</w:t>
            </w:r>
          </w:p>
        </w:tc>
        <w:tc>
          <w:tcPr>
            <w:tcW w:w="1613" w:type="dxa"/>
            <w:vAlign w:val="center"/>
          </w:tcPr>
          <w:p>
            <w:pPr>
              <w:widowControl/>
              <w:jc w:val="center"/>
              <w:rPr>
                <w:rFonts w:eastAsia="仿宋_GB2312"/>
                <w:kern w:val="0"/>
                <w:sz w:val="24"/>
                <w:szCs w:val="21"/>
              </w:rPr>
            </w:pPr>
            <w:r>
              <w:rPr>
                <w:rFonts w:eastAsia="仿宋_GB2312"/>
                <w:kern w:val="0"/>
                <w:sz w:val="24"/>
                <w:szCs w:val="21"/>
              </w:rPr>
              <w:t>16-20%</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20</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江西</w:t>
            </w:r>
          </w:p>
        </w:tc>
        <w:tc>
          <w:tcPr>
            <w:tcW w:w="1019" w:type="dxa"/>
            <w:vAlign w:val="center"/>
          </w:tcPr>
          <w:p>
            <w:pPr>
              <w:widowControl/>
              <w:jc w:val="center"/>
              <w:rPr>
                <w:rFonts w:eastAsia="仿宋_GB2312"/>
                <w:kern w:val="0"/>
                <w:sz w:val="24"/>
                <w:szCs w:val="21"/>
              </w:rPr>
            </w:pP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16%</w:t>
            </w:r>
          </w:p>
        </w:tc>
        <w:tc>
          <w:tcPr>
            <w:tcW w:w="1613" w:type="dxa"/>
            <w:vAlign w:val="center"/>
          </w:tcPr>
          <w:p>
            <w:pPr>
              <w:widowControl/>
              <w:jc w:val="center"/>
              <w:rPr>
                <w:rFonts w:eastAsia="仿宋_GB2312"/>
                <w:kern w:val="0"/>
                <w:sz w:val="24"/>
                <w:szCs w:val="21"/>
              </w:rPr>
            </w:pPr>
            <w:r>
              <w:rPr>
                <w:rFonts w:eastAsia="仿宋_GB2312"/>
                <w:kern w:val="0"/>
                <w:sz w:val="24"/>
                <w:szCs w:val="21"/>
              </w:rPr>
              <w:t>16-22%</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21</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四川</w:t>
            </w:r>
          </w:p>
        </w:tc>
        <w:tc>
          <w:tcPr>
            <w:tcW w:w="1019" w:type="dxa"/>
            <w:vAlign w:val="center"/>
          </w:tcPr>
          <w:p>
            <w:pPr>
              <w:widowControl/>
              <w:jc w:val="center"/>
              <w:rPr>
                <w:rFonts w:eastAsia="仿宋_GB2312"/>
                <w:kern w:val="0"/>
                <w:sz w:val="24"/>
                <w:szCs w:val="21"/>
              </w:rPr>
            </w:pP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15-19%</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22</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重庆</w:t>
            </w:r>
          </w:p>
        </w:tc>
        <w:tc>
          <w:tcPr>
            <w:tcW w:w="1019" w:type="dxa"/>
            <w:vAlign w:val="center"/>
          </w:tcPr>
          <w:p>
            <w:pPr>
              <w:widowControl/>
              <w:jc w:val="center"/>
              <w:rPr>
                <w:rFonts w:eastAsia="仿宋_GB2312"/>
                <w:kern w:val="0"/>
                <w:sz w:val="24"/>
                <w:szCs w:val="21"/>
              </w:rPr>
            </w:pP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17%</w:t>
            </w:r>
          </w:p>
        </w:tc>
        <w:tc>
          <w:tcPr>
            <w:tcW w:w="1613" w:type="dxa"/>
            <w:vAlign w:val="center"/>
          </w:tcPr>
          <w:p>
            <w:pPr>
              <w:widowControl/>
              <w:jc w:val="center"/>
              <w:rPr>
                <w:rFonts w:eastAsia="仿宋_GB2312"/>
                <w:kern w:val="0"/>
                <w:sz w:val="24"/>
                <w:szCs w:val="21"/>
              </w:rPr>
            </w:pPr>
            <w:r>
              <w:rPr>
                <w:rFonts w:eastAsia="仿宋_GB2312"/>
                <w:kern w:val="0"/>
                <w:sz w:val="24"/>
                <w:szCs w:val="21"/>
              </w:rPr>
              <w:t>17-21%</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23</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西藏</w:t>
            </w:r>
          </w:p>
        </w:tc>
        <w:tc>
          <w:tcPr>
            <w:tcW w:w="1019" w:type="dxa"/>
            <w:vAlign w:val="center"/>
          </w:tcPr>
          <w:p>
            <w:pPr>
              <w:widowControl/>
              <w:jc w:val="center"/>
              <w:rPr>
                <w:rFonts w:eastAsia="仿宋_GB2312"/>
                <w:kern w:val="0"/>
                <w:sz w:val="24"/>
                <w:szCs w:val="21"/>
              </w:rPr>
            </w:pPr>
            <w:r>
              <w:rPr>
                <w:rFonts w:eastAsia="仿宋_GB2312"/>
                <w:kern w:val="0"/>
                <w:sz w:val="24"/>
                <w:szCs w:val="21"/>
              </w:rPr>
              <w:t>-</w:t>
            </w:r>
          </w:p>
        </w:tc>
        <w:tc>
          <w:tcPr>
            <w:tcW w:w="1613" w:type="dxa"/>
            <w:vAlign w:val="center"/>
          </w:tcPr>
          <w:p>
            <w:pPr>
              <w:widowControl/>
              <w:jc w:val="center"/>
              <w:rPr>
                <w:rFonts w:eastAsia="仿宋_GB2312"/>
                <w:kern w:val="0"/>
                <w:sz w:val="24"/>
                <w:szCs w:val="21"/>
              </w:rPr>
            </w:pPr>
            <w:r>
              <w:rPr>
                <w:rFonts w:eastAsia="仿宋_GB2312"/>
                <w:kern w:val="0"/>
                <w:sz w:val="24"/>
                <w:szCs w:val="21"/>
              </w:rPr>
              <w:t>-</w:t>
            </w:r>
          </w:p>
        </w:tc>
        <w:tc>
          <w:tcPr>
            <w:tcW w:w="1613" w:type="dxa"/>
            <w:vAlign w:val="center"/>
          </w:tcPr>
          <w:p>
            <w:pPr>
              <w:widowControl/>
              <w:jc w:val="center"/>
              <w:rPr>
                <w:rFonts w:eastAsia="仿宋_GB2312"/>
                <w:kern w:val="0"/>
                <w:sz w:val="24"/>
                <w:szCs w:val="21"/>
              </w:rPr>
            </w:pPr>
            <w:r>
              <w:rPr>
                <w:rFonts w:eastAsia="仿宋_GB2312"/>
                <w:kern w:val="0"/>
                <w:sz w:val="24"/>
                <w:szCs w:val="21"/>
              </w:rPr>
              <w:t>-</w:t>
            </w:r>
          </w:p>
        </w:tc>
        <w:tc>
          <w:tcPr>
            <w:tcW w:w="1611" w:type="dxa"/>
            <w:vAlign w:val="center"/>
          </w:tcPr>
          <w:p>
            <w:pPr>
              <w:widowControl/>
              <w:jc w:val="center"/>
              <w:rPr>
                <w:rFonts w:eastAsia="仿宋_GB2312"/>
                <w:kern w:val="0"/>
                <w:sz w:val="24"/>
                <w:szCs w:val="21"/>
              </w:rPr>
            </w:pPr>
            <w:r>
              <w:rPr>
                <w:rFonts w:eastAsia="仿宋_GB2312"/>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24</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上海</w:t>
            </w:r>
          </w:p>
        </w:tc>
        <w:tc>
          <w:tcPr>
            <w:tcW w:w="1019" w:type="dxa"/>
            <w:vAlign w:val="center"/>
          </w:tcPr>
          <w:p>
            <w:pPr>
              <w:widowControl/>
              <w:jc w:val="center"/>
              <w:rPr>
                <w:rFonts w:eastAsia="仿宋_GB2312"/>
                <w:kern w:val="0"/>
                <w:sz w:val="24"/>
                <w:szCs w:val="21"/>
              </w:rPr>
            </w:pP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17%</w:t>
            </w:r>
          </w:p>
        </w:tc>
        <w:tc>
          <w:tcPr>
            <w:tcW w:w="1613" w:type="dxa"/>
            <w:vAlign w:val="center"/>
          </w:tcPr>
          <w:p>
            <w:pPr>
              <w:widowControl/>
              <w:jc w:val="center"/>
              <w:rPr>
                <w:rFonts w:eastAsia="仿宋_GB2312"/>
                <w:kern w:val="0"/>
                <w:sz w:val="24"/>
                <w:szCs w:val="21"/>
              </w:rPr>
            </w:pPr>
            <w:r>
              <w:rPr>
                <w:rFonts w:eastAsia="仿宋_GB2312"/>
                <w:kern w:val="0"/>
                <w:sz w:val="24"/>
                <w:szCs w:val="21"/>
              </w:rPr>
              <w:t>17-18%</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25</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江苏</w:t>
            </w:r>
          </w:p>
        </w:tc>
        <w:tc>
          <w:tcPr>
            <w:tcW w:w="1019" w:type="dxa"/>
            <w:vAlign w:val="center"/>
          </w:tcPr>
          <w:p>
            <w:pPr>
              <w:widowControl/>
              <w:jc w:val="center"/>
              <w:rPr>
                <w:rFonts w:eastAsia="仿宋_GB2312"/>
                <w:kern w:val="0"/>
                <w:sz w:val="24"/>
                <w:szCs w:val="21"/>
              </w:rPr>
            </w:pPr>
            <w:r>
              <w:rPr>
                <w:rFonts w:eastAsia="仿宋_GB2312"/>
                <w:kern w:val="0"/>
                <w:sz w:val="24"/>
                <w:szCs w:val="21"/>
              </w:rPr>
              <w:t>12%</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eastAsia="仿宋_GB2312"/>
                <w:kern w:val="0"/>
                <w:sz w:val="24"/>
                <w:szCs w:val="21"/>
              </w:rPr>
              <w:t>13-17%</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26</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浙江</w:t>
            </w:r>
          </w:p>
        </w:tc>
        <w:tc>
          <w:tcPr>
            <w:tcW w:w="1019" w:type="dxa"/>
            <w:vAlign w:val="center"/>
          </w:tcPr>
          <w:p>
            <w:pPr>
              <w:widowControl/>
              <w:jc w:val="center"/>
              <w:rPr>
                <w:rFonts w:eastAsia="仿宋_GB2312"/>
                <w:kern w:val="0"/>
                <w:sz w:val="24"/>
                <w:szCs w:val="21"/>
              </w:rPr>
            </w:pPr>
            <w:r>
              <w:rPr>
                <w:rFonts w:eastAsia="仿宋_GB2312"/>
                <w:kern w:val="0"/>
                <w:sz w:val="24"/>
                <w:szCs w:val="21"/>
              </w:rPr>
              <w:t>12%</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eastAsia="仿宋_GB2312"/>
                <w:kern w:val="0"/>
                <w:sz w:val="24"/>
                <w:szCs w:val="21"/>
              </w:rPr>
              <w:t>13-17%</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27</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安徽</w:t>
            </w:r>
          </w:p>
        </w:tc>
        <w:tc>
          <w:tcPr>
            <w:tcW w:w="1019" w:type="dxa"/>
            <w:vAlign w:val="center"/>
          </w:tcPr>
          <w:p>
            <w:pPr>
              <w:widowControl/>
              <w:jc w:val="center"/>
              <w:rPr>
                <w:rFonts w:eastAsia="仿宋_GB2312"/>
                <w:kern w:val="0"/>
                <w:sz w:val="24"/>
                <w:szCs w:val="21"/>
              </w:rPr>
            </w:pPr>
            <w:r>
              <w:rPr>
                <w:rFonts w:eastAsia="仿宋_GB2312"/>
                <w:kern w:val="0"/>
                <w:sz w:val="24"/>
                <w:szCs w:val="21"/>
              </w:rPr>
              <w:t>12%</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eastAsia="仿宋_GB2312"/>
                <w:kern w:val="0"/>
                <w:sz w:val="24"/>
                <w:szCs w:val="21"/>
              </w:rPr>
              <w:t>14-18%</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≥1</w:t>
            </w:r>
            <w:r>
              <w:rPr>
                <w:rFonts w:eastAsia="仿宋_GB2312"/>
                <w:kern w:val="0"/>
                <w:sz w:val="24"/>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28</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福建</w:t>
            </w:r>
          </w:p>
        </w:tc>
        <w:tc>
          <w:tcPr>
            <w:tcW w:w="1019" w:type="dxa"/>
            <w:vAlign w:val="center"/>
          </w:tcPr>
          <w:p>
            <w:pPr>
              <w:widowControl/>
              <w:jc w:val="center"/>
              <w:rPr>
                <w:rFonts w:eastAsia="仿宋_GB2312"/>
                <w:kern w:val="0"/>
                <w:sz w:val="24"/>
                <w:szCs w:val="21"/>
              </w:rPr>
            </w:pPr>
            <w:r>
              <w:rPr>
                <w:rFonts w:eastAsia="仿宋_GB2312"/>
                <w:kern w:val="0"/>
                <w:sz w:val="24"/>
                <w:szCs w:val="21"/>
              </w:rPr>
              <w:t>12%</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eastAsia="仿宋_GB2312"/>
                <w:kern w:val="0"/>
                <w:sz w:val="24"/>
                <w:szCs w:val="21"/>
              </w:rPr>
              <w:t>14-18%</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29</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广东</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eastAsia="仿宋_GB2312"/>
                <w:kern w:val="0"/>
                <w:sz w:val="24"/>
                <w:szCs w:val="21"/>
              </w:rPr>
              <w:t>14-18%</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30</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广西</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15-17%</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31</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云南</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14%</w:t>
            </w:r>
          </w:p>
        </w:tc>
        <w:tc>
          <w:tcPr>
            <w:tcW w:w="1613" w:type="dxa"/>
            <w:vAlign w:val="center"/>
          </w:tcPr>
          <w:p>
            <w:pPr>
              <w:widowControl/>
              <w:jc w:val="center"/>
              <w:rPr>
                <w:rFonts w:eastAsia="仿宋_GB2312"/>
                <w:kern w:val="0"/>
                <w:sz w:val="24"/>
                <w:szCs w:val="21"/>
              </w:rPr>
            </w:pPr>
            <w:r>
              <w:rPr>
                <w:rFonts w:eastAsia="仿宋_GB2312"/>
                <w:kern w:val="0"/>
                <w:sz w:val="24"/>
                <w:szCs w:val="21"/>
              </w:rPr>
              <w:t>14-20%</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32</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贵州</w:t>
            </w:r>
          </w:p>
        </w:tc>
        <w:tc>
          <w:tcPr>
            <w:tcW w:w="1019" w:type="dxa"/>
            <w:vAlign w:val="center"/>
          </w:tcPr>
          <w:p>
            <w:pPr>
              <w:widowControl/>
              <w:jc w:val="center"/>
              <w:rPr>
                <w:rFonts w:eastAsia="仿宋_GB2312"/>
                <w:kern w:val="0"/>
                <w:sz w:val="24"/>
                <w:szCs w:val="21"/>
              </w:rPr>
            </w:pPr>
            <w:r>
              <w:rPr>
                <w:rFonts w:eastAsia="仿宋_GB2312"/>
                <w:kern w:val="0"/>
                <w:sz w:val="24"/>
                <w:szCs w:val="21"/>
              </w:rPr>
              <w:t>13%</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15%</w:t>
            </w:r>
          </w:p>
        </w:tc>
        <w:tc>
          <w:tcPr>
            <w:tcW w:w="1613" w:type="dxa"/>
            <w:vAlign w:val="center"/>
          </w:tcPr>
          <w:p>
            <w:pPr>
              <w:widowControl/>
              <w:jc w:val="center"/>
              <w:rPr>
                <w:rFonts w:eastAsia="仿宋_GB2312"/>
                <w:kern w:val="0"/>
                <w:sz w:val="24"/>
                <w:szCs w:val="21"/>
              </w:rPr>
            </w:pPr>
            <w:r>
              <w:rPr>
                <w:rFonts w:eastAsia="仿宋_GB2312"/>
                <w:kern w:val="0"/>
                <w:sz w:val="24"/>
                <w:szCs w:val="21"/>
              </w:rPr>
              <w:t>15-20%</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33</w:t>
            </w:r>
          </w:p>
        </w:tc>
        <w:tc>
          <w:tcPr>
            <w:tcW w:w="1822" w:type="dxa"/>
            <w:gridSpan w:val="3"/>
            <w:shd w:val="clear" w:color="auto" w:fill="auto"/>
            <w:vAlign w:val="center"/>
          </w:tcPr>
          <w:p>
            <w:pPr>
              <w:widowControl/>
              <w:jc w:val="center"/>
              <w:rPr>
                <w:rFonts w:eastAsia="仿宋_GB2312"/>
                <w:kern w:val="0"/>
                <w:sz w:val="24"/>
                <w:szCs w:val="21"/>
              </w:rPr>
            </w:pPr>
            <w:r>
              <w:rPr>
                <w:rFonts w:hint="eastAsia" w:eastAsia="仿宋_GB2312"/>
                <w:kern w:val="0"/>
                <w:sz w:val="24"/>
                <w:szCs w:val="21"/>
              </w:rPr>
              <w:t>海南</w:t>
            </w:r>
          </w:p>
        </w:tc>
        <w:tc>
          <w:tcPr>
            <w:tcW w:w="1019" w:type="dxa"/>
            <w:vAlign w:val="center"/>
          </w:tcPr>
          <w:p>
            <w:pPr>
              <w:widowControl/>
              <w:jc w:val="center"/>
              <w:rPr>
                <w:rFonts w:eastAsia="仿宋_GB2312"/>
                <w:kern w:val="0"/>
                <w:sz w:val="24"/>
                <w:szCs w:val="21"/>
              </w:rPr>
            </w:pPr>
            <w:r>
              <w:rPr>
                <w:rFonts w:eastAsia="仿宋_GB2312"/>
                <w:kern w:val="0"/>
                <w:sz w:val="24"/>
                <w:szCs w:val="21"/>
              </w:rPr>
              <w:t>20%</w:t>
            </w:r>
          </w:p>
        </w:tc>
        <w:tc>
          <w:tcPr>
            <w:tcW w:w="1613" w:type="dxa"/>
            <w:vAlign w:val="center"/>
          </w:tcPr>
          <w:p>
            <w:pPr>
              <w:widowControl/>
              <w:jc w:val="center"/>
              <w:rPr>
                <w:rFonts w:eastAsia="仿宋_GB2312"/>
                <w:kern w:val="0"/>
                <w:sz w:val="24"/>
                <w:szCs w:val="21"/>
              </w:rPr>
            </w:pPr>
            <w:r>
              <w:rPr>
                <w:rFonts w:hint="eastAsia" w:eastAsia="仿宋_GB2312"/>
                <w:kern w:val="0"/>
                <w:sz w:val="24"/>
                <w:szCs w:val="21"/>
              </w:rPr>
              <w:t>≤2</w:t>
            </w:r>
            <w:r>
              <w:rPr>
                <w:rFonts w:eastAsia="仿宋_GB2312"/>
                <w:kern w:val="0"/>
                <w:sz w:val="24"/>
                <w:szCs w:val="21"/>
              </w:rPr>
              <w:t>5%</w:t>
            </w:r>
          </w:p>
        </w:tc>
        <w:tc>
          <w:tcPr>
            <w:tcW w:w="1613" w:type="dxa"/>
            <w:vAlign w:val="center"/>
          </w:tcPr>
          <w:p>
            <w:pPr>
              <w:widowControl/>
              <w:jc w:val="center"/>
              <w:rPr>
                <w:rFonts w:eastAsia="仿宋_GB2312"/>
                <w:kern w:val="0"/>
                <w:sz w:val="24"/>
                <w:szCs w:val="21"/>
              </w:rPr>
            </w:pPr>
            <w:r>
              <w:rPr>
                <w:rFonts w:eastAsia="仿宋_GB2312"/>
                <w:kern w:val="0"/>
                <w:sz w:val="24"/>
                <w:szCs w:val="21"/>
              </w:rPr>
              <w:t>25-29%</w:t>
            </w:r>
          </w:p>
        </w:tc>
        <w:tc>
          <w:tcPr>
            <w:tcW w:w="1611" w:type="dxa"/>
            <w:vAlign w:val="center"/>
          </w:tcPr>
          <w:p>
            <w:pPr>
              <w:widowControl/>
              <w:jc w:val="center"/>
              <w:rPr>
                <w:rFonts w:eastAsia="仿宋_GB2312"/>
                <w:kern w:val="0"/>
                <w:sz w:val="24"/>
                <w:szCs w:val="21"/>
              </w:rPr>
            </w:pPr>
            <w:r>
              <w:rPr>
                <w:rFonts w:hint="eastAsia" w:eastAsia="仿宋_GB2312"/>
                <w:kern w:val="0"/>
                <w:sz w:val="24"/>
                <w:szCs w:val="21"/>
              </w:rPr>
              <w:t>≥</w:t>
            </w:r>
            <w:r>
              <w:rPr>
                <w:rFonts w:eastAsia="仿宋_GB2312"/>
                <w:kern w:val="0"/>
                <w:sz w:val="24"/>
                <w:szCs w:val="21"/>
              </w:rPr>
              <w:t>29%</w:t>
            </w:r>
          </w:p>
        </w:tc>
      </w:tr>
    </w:tbl>
    <w:p>
      <w:pPr>
        <w:adjustRightInd w:val="0"/>
        <w:snapToGrid w:val="0"/>
        <w:spacing w:beforeLines="50" w:line="360" w:lineRule="auto"/>
        <w:rPr>
          <w:rFonts w:ascii="仿宋_GB2312" w:eastAsia="仿宋_GB2312"/>
          <w:sz w:val="24"/>
        </w:rPr>
      </w:pPr>
      <w:r>
        <w:rPr>
          <w:rFonts w:hint="eastAsia" w:eastAsia="仿宋_GB2312"/>
          <w:spacing w:val="-4"/>
          <w:sz w:val="24"/>
        </w:rPr>
        <w:t>注：</w:t>
      </w:r>
    </w:p>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绿色区间：系统实际备用率不高于合理备用率，或在合理备用率之上小于当地一台大型煤电单机对应的系统备用率；</w:t>
      </w:r>
    </w:p>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红色区间：系统实际备用率在合理备用率之上多出当地一年负荷增长需要的装机所对应的系统备用率；</w:t>
      </w:r>
    </w:p>
    <w:p>
      <w:pPr>
        <w:adjustRightInd w:val="0"/>
        <w:snapToGrid w:val="0"/>
        <w:spacing w:line="360" w:lineRule="auto"/>
        <w:ind w:firstLine="480" w:firstLineChars="200"/>
        <w:rPr>
          <w:rFonts w:eastAsia="仿宋_GB2312"/>
          <w:spacing w:val="-4"/>
          <w:sz w:val="32"/>
          <w:szCs w:val="32"/>
        </w:rPr>
      </w:pPr>
      <w:r>
        <w:rPr>
          <w:rFonts w:hint="eastAsia" w:ascii="仿宋_GB2312" w:eastAsia="仿宋_GB2312"/>
          <w:sz w:val="24"/>
        </w:rPr>
        <w:t>橙色区间：系统实际备用率介于绿色及红色范围之间。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28"/>
    <w:rsid w:val="00000987"/>
    <w:rsid w:val="00007316"/>
    <w:rsid w:val="000207E8"/>
    <w:rsid w:val="00026E0C"/>
    <w:rsid w:val="00031ACC"/>
    <w:rsid w:val="00040BB3"/>
    <w:rsid w:val="000424F5"/>
    <w:rsid w:val="0004654E"/>
    <w:rsid w:val="00047176"/>
    <w:rsid w:val="000474FA"/>
    <w:rsid w:val="000570FE"/>
    <w:rsid w:val="00060979"/>
    <w:rsid w:val="00065BCA"/>
    <w:rsid w:val="00077CAF"/>
    <w:rsid w:val="000809CA"/>
    <w:rsid w:val="000842DF"/>
    <w:rsid w:val="00087A39"/>
    <w:rsid w:val="000954B6"/>
    <w:rsid w:val="000A44F6"/>
    <w:rsid w:val="000B5252"/>
    <w:rsid w:val="000C0027"/>
    <w:rsid w:val="000C07DC"/>
    <w:rsid w:val="000C22DB"/>
    <w:rsid w:val="000C6BE6"/>
    <w:rsid w:val="000D092C"/>
    <w:rsid w:val="000D1F36"/>
    <w:rsid w:val="000D329B"/>
    <w:rsid w:val="000D3D68"/>
    <w:rsid w:val="000E2A63"/>
    <w:rsid w:val="000F3D77"/>
    <w:rsid w:val="000F4E3D"/>
    <w:rsid w:val="000F6281"/>
    <w:rsid w:val="001003FB"/>
    <w:rsid w:val="00103285"/>
    <w:rsid w:val="00106517"/>
    <w:rsid w:val="00114B1A"/>
    <w:rsid w:val="00122D33"/>
    <w:rsid w:val="00133E4B"/>
    <w:rsid w:val="001401E0"/>
    <w:rsid w:val="00141A97"/>
    <w:rsid w:val="00142464"/>
    <w:rsid w:val="0014302E"/>
    <w:rsid w:val="001436D4"/>
    <w:rsid w:val="00162ED6"/>
    <w:rsid w:val="00167A0C"/>
    <w:rsid w:val="00174271"/>
    <w:rsid w:val="001818C8"/>
    <w:rsid w:val="0018722F"/>
    <w:rsid w:val="001872AB"/>
    <w:rsid w:val="00195A8A"/>
    <w:rsid w:val="001B4F87"/>
    <w:rsid w:val="001B7F91"/>
    <w:rsid w:val="001C35D8"/>
    <w:rsid w:val="001C38F5"/>
    <w:rsid w:val="001D5B9C"/>
    <w:rsid w:val="001D74DC"/>
    <w:rsid w:val="001E3B02"/>
    <w:rsid w:val="00200C3D"/>
    <w:rsid w:val="00203499"/>
    <w:rsid w:val="002069EA"/>
    <w:rsid w:val="00206E28"/>
    <w:rsid w:val="002125AF"/>
    <w:rsid w:val="002312D4"/>
    <w:rsid w:val="0023242C"/>
    <w:rsid w:val="00233111"/>
    <w:rsid w:val="00241587"/>
    <w:rsid w:val="00244FB8"/>
    <w:rsid w:val="0025291C"/>
    <w:rsid w:val="00260CE3"/>
    <w:rsid w:val="002625EA"/>
    <w:rsid w:val="00264F91"/>
    <w:rsid w:val="002739EF"/>
    <w:rsid w:val="00273B1D"/>
    <w:rsid w:val="00277B57"/>
    <w:rsid w:val="00290128"/>
    <w:rsid w:val="00290797"/>
    <w:rsid w:val="00290E2C"/>
    <w:rsid w:val="00290EC7"/>
    <w:rsid w:val="00293858"/>
    <w:rsid w:val="00293BAF"/>
    <w:rsid w:val="002945E3"/>
    <w:rsid w:val="002956C1"/>
    <w:rsid w:val="0029581F"/>
    <w:rsid w:val="002A065B"/>
    <w:rsid w:val="002A41BE"/>
    <w:rsid w:val="002B4E02"/>
    <w:rsid w:val="002C4AD7"/>
    <w:rsid w:val="002D46B4"/>
    <w:rsid w:val="002E420B"/>
    <w:rsid w:val="002F1C02"/>
    <w:rsid w:val="002F514B"/>
    <w:rsid w:val="002F7780"/>
    <w:rsid w:val="003022CA"/>
    <w:rsid w:val="00303F36"/>
    <w:rsid w:val="00304C20"/>
    <w:rsid w:val="003105B8"/>
    <w:rsid w:val="00321C32"/>
    <w:rsid w:val="00323F45"/>
    <w:rsid w:val="00325EAB"/>
    <w:rsid w:val="00327C0F"/>
    <w:rsid w:val="00332335"/>
    <w:rsid w:val="0033305C"/>
    <w:rsid w:val="003378A0"/>
    <w:rsid w:val="003419B5"/>
    <w:rsid w:val="00342201"/>
    <w:rsid w:val="003465AA"/>
    <w:rsid w:val="00347BA2"/>
    <w:rsid w:val="00354015"/>
    <w:rsid w:val="003614D0"/>
    <w:rsid w:val="003713D9"/>
    <w:rsid w:val="00371890"/>
    <w:rsid w:val="00374161"/>
    <w:rsid w:val="003864D2"/>
    <w:rsid w:val="00390120"/>
    <w:rsid w:val="003A1906"/>
    <w:rsid w:val="003A38C8"/>
    <w:rsid w:val="003A43F7"/>
    <w:rsid w:val="003A4C70"/>
    <w:rsid w:val="003B24D4"/>
    <w:rsid w:val="003B3938"/>
    <w:rsid w:val="003C209C"/>
    <w:rsid w:val="003C42E2"/>
    <w:rsid w:val="003C6418"/>
    <w:rsid w:val="003C761C"/>
    <w:rsid w:val="003C7910"/>
    <w:rsid w:val="003E4198"/>
    <w:rsid w:val="003E7E75"/>
    <w:rsid w:val="003F41DD"/>
    <w:rsid w:val="004028FC"/>
    <w:rsid w:val="004056FB"/>
    <w:rsid w:val="00407BF0"/>
    <w:rsid w:val="00410902"/>
    <w:rsid w:val="00410DD9"/>
    <w:rsid w:val="0042734A"/>
    <w:rsid w:val="00427B38"/>
    <w:rsid w:val="0043300F"/>
    <w:rsid w:val="00433809"/>
    <w:rsid w:val="00434308"/>
    <w:rsid w:val="0044030A"/>
    <w:rsid w:val="004409F2"/>
    <w:rsid w:val="00441928"/>
    <w:rsid w:val="00446E00"/>
    <w:rsid w:val="00451FD8"/>
    <w:rsid w:val="00456E87"/>
    <w:rsid w:val="00461C07"/>
    <w:rsid w:val="00472B0C"/>
    <w:rsid w:val="00477149"/>
    <w:rsid w:val="0048099D"/>
    <w:rsid w:val="0049485B"/>
    <w:rsid w:val="004A605E"/>
    <w:rsid w:val="004A68BD"/>
    <w:rsid w:val="004B4687"/>
    <w:rsid w:val="004B68E4"/>
    <w:rsid w:val="004C17B7"/>
    <w:rsid w:val="004C56DC"/>
    <w:rsid w:val="004D6D47"/>
    <w:rsid w:val="004F5291"/>
    <w:rsid w:val="004F5505"/>
    <w:rsid w:val="00500B03"/>
    <w:rsid w:val="0050164C"/>
    <w:rsid w:val="005044A0"/>
    <w:rsid w:val="00515079"/>
    <w:rsid w:val="00515A9D"/>
    <w:rsid w:val="00525AC6"/>
    <w:rsid w:val="00526D16"/>
    <w:rsid w:val="00531E63"/>
    <w:rsid w:val="00534F71"/>
    <w:rsid w:val="00540898"/>
    <w:rsid w:val="00552024"/>
    <w:rsid w:val="00552178"/>
    <w:rsid w:val="00552FA3"/>
    <w:rsid w:val="00553244"/>
    <w:rsid w:val="005532FB"/>
    <w:rsid w:val="00555B07"/>
    <w:rsid w:val="0056284E"/>
    <w:rsid w:val="00566A2B"/>
    <w:rsid w:val="00571756"/>
    <w:rsid w:val="00574E64"/>
    <w:rsid w:val="00577880"/>
    <w:rsid w:val="005820C1"/>
    <w:rsid w:val="00590AE8"/>
    <w:rsid w:val="00594B5B"/>
    <w:rsid w:val="00596790"/>
    <w:rsid w:val="005A4396"/>
    <w:rsid w:val="005B0664"/>
    <w:rsid w:val="005B28C7"/>
    <w:rsid w:val="005C1742"/>
    <w:rsid w:val="005C3CC4"/>
    <w:rsid w:val="005C435E"/>
    <w:rsid w:val="005C4E9F"/>
    <w:rsid w:val="005C7DF4"/>
    <w:rsid w:val="005D1AEB"/>
    <w:rsid w:val="005D1BEA"/>
    <w:rsid w:val="005D263D"/>
    <w:rsid w:val="005D4565"/>
    <w:rsid w:val="005F238F"/>
    <w:rsid w:val="005F632D"/>
    <w:rsid w:val="005F75D2"/>
    <w:rsid w:val="005F7C78"/>
    <w:rsid w:val="00607AE7"/>
    <w:rsid w:val="00612BAB"/>
    <w:rsid w:val="0061406A"/>
    <w:rsid w:val="00621003"/>
    <w:rsid w:val="00624691"/>
    <w:rsid w:val="00640E26"/>
    <w:rsid w:val="0064209C"/>
    <w:rsid w:val="00644941"/>
    <w:rsid w:val="00645DE6"/>
    <w:rsid w:val="006636A3"/>
    <w:rsid w:val="00663984"/>
    <w:rsid w:val="00667592"/>
    <w:rsid w:val="006757B5"/>
    <w:rsid w:val="00695643"/>
    <w:rsid w:val="006A3870"/>
    <w:rsid w:val="006B03DB"/>
    <w:rsid w:val="006B4C02"/>
    <w:rsid w:val="006D00E2"/>
    <w:rsid w:val="006D6C77"/>
    <w:rsid w:val="006D7294"/>
    <w:rsid w:val="006D741D"/>
    <w:rsid w:val="006E527C"/>
    <w:rsid w:val="006F006F"/>
    <w:rsid w:val="006F4224"/>
    <w:rsid w:val="006F434E"/>
    <w:rsid w:val="0070131A"/>
    <w:rsid w:val="00704367"/>
    <w:rsid w:val="007116C2"/>
    <w:rsid w:val="0071515E"/>
    <w:rsid w:val="00715ABD"/>
    <w:rsid w:val="007348AC"/>
    <w:rsid w:val="007450D9"/>
    <w:rsid w:val="007576DA"/>
    <w:rsid w:val="00762070"/>
    <w:rsid w:val="0076699A"/>
    <w:rsid w:val="00767206"/>
    <w:rsid w:val="00772F3E"/>
    <w:rsid w:val="007774C7"/>
    <w:rsid w:val="007834EA"/>
    <w:rsid w:val="0078596A"/>
    <w:rsid w:val="007A0F35"/>
    <w:rsid w:val="007B0766"/>
    <w:rsid w:val="007B1A79"/>
    <w:rsid w:val="007B20DC"/>
    <w:rsid w:val="007B3979"/>
    <w:rsid w:val="007B62B6"/>
    <w:rsid w:val="007C136A"/>
    <w:rsid w:val="007C3B3E"/>
    <w:rsid w:val="007C570A"/>
    <w:rsid w:val="007C6272"/>
    <w:rsid w:val="007C78C4"/>
    <w:rsid w:val="007D6890"/>
    <w:rsid w:val="007E241C"/>
    <w:rsid w:val="007E4A17"/>
    <w:rsid w:val="007E7707"/>
    <w:rsid w:val="007F07BB"/>
    <w:rsid w:val="007F1350"/>
    <w:rsid w:val="007F5ABE"/>
    <w:rsid w:val="007F603A"/>
    <w:rsid w:val="00802B8E"/>
    <w:rsid w:val="00806BDD"/>
    <w:rsid w:val="008070C4"/>
    <w:rsid w:val="00811358"/>
    <w:rsid w:val="0081235C"/>
    <w:rsid w:val="00816B05"/>
    <w:rsid w:val="00821D07"/>
    <w:rsid w:val="00823EEE"/>
    <w:rsid w:val="008242CE"/>
    <w:rsid w:val="00836FE6"/>
    <w:rsid w:val="00840AA1"/>
    <w:rsid w:val="008533C5"/>
    <w:rsid w:val="00857217"/>
    <w:rsid w:val="00866A62"/>
    <w:rsid w:val="008723FE"/>
    <w:rsid w:val="008748C8"/>
    <w:rsid w:val="00875136"/>
    <w:rsid w:val="008766D2"/>
    <w:rsid w:val="008777C0"/>
    <w:rsid w:val="00877AD0"/>
    <w:rsid w:val="00881237"/>
    <w:rsid w:val="00882ED5"/>
    <w:rsid w:val="0089019C"/>
    <w:rsid w:val="008A01F5"/>
    <w:rsid w:val="008A057F"/>
    <w:rsid w:val="008B5D87"/>
    <w:rsid w:val="008B62D7"/>
    <w:rsid w:val="008C724B"/>
    <w:rsid w:val="008E0CD7"/>
    <w:rsid w:val="008E1214"/>
    <w:rsid w:val="008E1F19"/>
    <w:rsid w:val="008E72D0"/>
    <w:rsid w:val="008F0A66"/>
    <w:rsid w:val="008F1A0C"/>
    <w:rsid w:val="008F2F02"/>
    <w:rsid w:val="008F452F"/>
    <w:rsid w:val="008F567D"/>
    <w:rsid w:val="008F5A69"/>
    <w:rsid w:val="00900C64"/>
    <w:rsid w:val="009019F7"/>
    <w:rsid w:val="009132A9"/>
    <w:rsid w:val="00914700"/>
    <w:rsid w:val="0091667A"/>
    <w:rsid w:val="0091677C"/>
    <w:rsid w:val="00917DBA"/>
    <w:rsid w:val="00922D10"/>
    <w:rsid w:val="00933696"/>
    <w:rsid w:val="00941FA0"/>
    <w:rsid w:val="0094235C"/>
    <w:rsid w:val="009424DA"/>
    <w:rsid w:val="00952E40"/>
    <w:rsid w:val="00973F78"/>
    <w:rsid w:val="00976E06"/>
    <w:rsid w:val="009801D5"/>
    <w:rsid w:val="0098100C"/>
    <w:rsid w:val="009A15ED"/>
    <w:rsid w:val="009A1AEC"/>
    <w:rsid w:val="009A1E14"/>
    <w:rsid w:val="009A2654"/>
    <w:rsid w:val="009A3CEE"/>
    <w:rsid w:val="009C130F"/>
    <w:rsid w:val="009D1775"/>
    <w:rsid w:val="009D2E18"/>
    <w:rsid w:val="009D37A6"/>
    <w:rsid w:val="009D3AA5"/>
    <w:rsid w:val="009D5277"/>
    <w:rsid w:val="009E4135"/>
    <w:rsid w:val="009F0BF0"/>
    <w:rsid w:val="009F30D2"/>
    <w:rsid w:val="00A15632"/>
    <w:rsid w:val="00A172E0"/>
    <w:rsid w:val="00A17BF7"/>
    <w:rsid w:val="00A17FCD"/>
    <w:rsid w:val="00A201D6"/>
    <w:rsid w:val="00A2145F"/>
    <w:rsid w:val="00A23F13"/>
    <w:rsid w:val="00A26A01"/>
    <w:rsid w:val="00A27C07"/>
    <w:rsid w:val="00A369A6"/>
    <w:rsid w:val="00A46886"/>
    <w:rsid w:val="00A502CA"/>
    <w:rsid w:val="00A53E56"/>
    <w:rsid w:val="00A608BA"/>
    <w:rsid w:val="00A622F3"/>
    <w:rsid w:val="00A67F6E"/>
    <w:rsid w:val="00A776A3"/>
    <w:rsid w:val="00A836DC"/>
    <w:rsid w:val="00A839D4"/>
    <w:rsid w:val="00A84868"/>
    <w:rsid w:val="00A8714F"/>
    <w:rsid w:val="00A91FBD"/>
    <w:rsid w:val="00A94260"/>
    <w:rsid w:val="00A95A54"/>
    <w:rsid w:val="00A96218"/>
    <w:rsid w:val="00AB0755"/>
    <w:rsid w:val="00AB59F3"/>
    <w:rsid w:val="00AC28FC"/>
    <w:rsid w:val="00AC6249"/>
    <w:rsid w:val="00AE496A"/>
    <w:rsid w:val="00AF5BA7"/>
    <w:rsid w:val="00AF7E98"/>
    <w:rsid w:val="00B06A9F"/>
    <w:rsid w:val="00B16C2E"/>
    <w:rsid w:val="00B240EA"/>
    <w:rsid w:val="00B2706F"/>
    <w:rsid w:val="00B31D08"/>
    <w:rsid w:val="00B37231"/>
    <w:rsid w:val="00B41658"/>
    <w:rsid w:val="00B50210"/>
    <w:rsid w:val="00B634DA"/>
    <w:rsid w:val="00B67575"/>
    <w:rsid w:val="00B713CA"/>
    <w:rsid w:val="00B71D04"/>
    <w:rsid w:val="00B75FE2"/>
    <w:rsid w:val="00B90034"/>
    <w:rsid w:val="00B93AA1"/>
    <w:rsid w:val="00B97A55"/>
    <w:rsid w:val="00BA2B28"/>
    <w:rsid w:val="00BB03D3"/>
    <w:rsid w:val="00BB09C3"/>
    <w:rsid w:val="00BB1C30"/>
    <w:rsid w:val="00BC16A4"/>
    <w:rsid w:val="00BD10C2"/>
    <w:rsid w:val="00BD2FB0"/>
    <w:rsid w:val="00BE2DB4"/>
    <w:rsid w:val="00BF1FD0"/>
    <w:rsid w:val="00C01CE4"/>
    <w:rsid w:val="00C02398"/>
    <w:rsid w:val="00C04B7A"/>
    <w:rsid w:val="00C10356"/>
    <w:rsid w:val="00C11449"/>
    <w:rsid w:val="00C11D38"/>
    <w:rsid w:val="00C11D6C"/>
    <w:rsid w:val="00C136B5"/>
    <w:rsid w:val="00C175C7"/>
    <w:rsid w:val="00C3369B"/>
    <w:rsid w:val="00C41215"/>
    <w:rsid w:val="00C46356"/>
    <w:rsid w:val="00C644DC"/>
    <w:rsid w:val="00C720B7"/>
    <w:rsid w:val="00C77725"/>
    <w:rsid w:val="00C80230"/>
    <w:rsid w:val="00C82775"/>
    <w:rsid w:val="00C86DF1"/>
    <w:rsid w:val="00C91CC2"/>
    <w:rsid w:val="00C92F3C"/>
    <w:rsid w:val="00C937C2"/>
    <w:rsid w:val="00C96A0A"/>
    <w:rsid w:val="00CA0750"/>
    <w:rsid w:val="00CA39D3"/>
    <w:rsid w:val="00CA5041"/>
    <w:rsid w:val="00CA79B5"/>
    <w:rsid w:val="00CA7A70"/>
    <w:rsid w:val="00CD31FD"/>
    <w:rsid w:val="00CD508B"/>
    <w:rsid w:val="00CD7CC7"/>
    <w:rsid w:val="00CD7D37"/>
    <w:rsid w:val="00CF18A9"/>
    <w:rsid w:val="00D15905"/>
    <w:rsid w:val="00D21939"/>
    <w:rsid w:val="00D42383"/>
    <w:rsid w:val="00D4680E"/>
    <w:rsid w:val="00D519AE"/>
    <w:rsid w:val="00D5650A"/>
    <w:rsid w:val="00D57797"/>
    <w:rsid w:val="00D64F60"/>
    <w:rsid w:val="00D707E3"/>
    <w:rsid w:val="00D7711D"/>
    <w:rsid w:val="00D773F4"/>
    <w:rsid w:val="00D77A19"/>
    <w:rsid w:val="00D85D60"/>
    <w:rsid w:val="00DA01ED"/>
    <w:rsid w:val="00DA0223"/>
    <w:rsid w:val="00DA1A9F"/>
    <w:rsid w:val="00DA3C56"/>
    <w:rsid w:val="00DA51C0"/>
    <w:rsid w:val="00DB322F"/>
    <w:rsid w:val="00DB4242"/>
    <w:rsid w:val="00DB588C"/>
    <w:rsid w:val="00DB6AE4"/>
    <w:rsid w:val="00DC10F6"/>
    <w:rsid w:val="00DC6FA2"/>
    <w:rsid w:val="00DE3EC4"/>
    <w:rsid w:val="00DE5B1A"/>
    <w:rsid w:val="00DF15B4"/>
    <w:rsid w:val="00DF2021"/>
    <w:rsid w:val="00DF27F2"/>
    <w:rsid w:val="00DF7890"/>
    <w:rsid w:val="00E0262F"/>
    <w:rsid w:val="00E04E9E"/>
    <w:rsid w:val="00E12F78"/>
    <w:rsid w:val="00E12FE2"/>
    <w:rsid w:val="00E1703A"/>
    <w:rsid w:val="00E17E82"/>
    <w:rsid w:val="00E24FD9"/>
    <w:rsid w:val="00E27013"/>
    <w:rsid w:val="00E2794C"/>
    <w:rsid w:val="00E30BE8"/>
    <w:rsid w:val="00E32209"/>
    <w:rsid w:val="00E35380"/>
    <w:rsid w:val="00E42BF4"/>
    <w:rsid w:val="00E5518B"/>
    <w:rsid w:val="00E63873"/>
    <w:rsid w:val="00E71CD8"/>
    <w:rsid w:val="00E769CE"/>
    <w:rsid w:val="00E815B2"/>
    <w:rsid w:val="00E92CC8"/>
    <w:rsid w:val="00E936AE"/>
    <w:rsid w:val="00E95EAD"/>
    <w:rsid w:val="00E97BE6"/>
    <w:rsid w:val="00EA2973"/>
    <w:rsid w:val="00EA57CC"/>
    <w:rsid w:val="00EC0E27"/>
    <w:rsid w:val="00EC1FCE"/>
    <w:rsid w:val="00EC3383"/>
    <w:rsid w:val="00EC75B3"/>
    <w:rsid w:val="00EC79E0"/>
    <w:rsid w:val="00ED37D5"/>
    <w:rsid w:val="00ED5D2A"/>
    <w:rsid w:val="00EE4939"/>
    <w:rsid w:val="00EF08D8"/>
    <w:rsid w:val="00EF48B6"/>
    <w:rsid w:val="00EF52AF"/>
    <w:rsid w:val="00F0042D"/>
    <w:rsid w:val="00F0623C"/>
    <w:rsid w:val="00F11826"/>
    <w:rsid w:val="00F14F07"/>
    <w:rsid w:val="00F24698"/>
    <w:rsid w:val="00F44B50"/>
    <w:rsid w:val="00F4731D"/>
    <w:rsid w:val="00F533F7"/>
    <w:rsid w:val="00F5687F"/>
    <w:rsid w:val="00F61133"/>
    <w:rsid w:val="00F65F36"/>
    <w:rsid w:val="00F80E06"/>
    <w:rsid w:val="00F94652"/>
    <w:rsid w:val="00F96136"/>
    <w:rsid w:val="00FA7BEF"/>
    <w:rsid w:val="00FB2885"/>
    <w:rsid w:val="00FB74D4"/>
    <w:rsid w:val="00FE4E5E"/>
    <w:rsid w:val="00FE73AD"/>
    <w:rsid w:val="00FE7EFC"/>
    <w:rsid w:val="00FF4F56"/>
    <w:rsid w:val="00FF5ED0"/>
    <w:rsid w:val="00FF795B"/>
    <w:rsid w:val="3FE14364"/>
    <w:rsid w:val="485D3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uiPriority w:val="0"/>
    <w:rPr>
      <w:rFonts w:ascii="宋体"/>
      <w:sz w:val="18"/>
      <w:szCs w:val="18"/>
    </w:rPr>
  </w:style>
  <w:style w:type="paragraph" w:styleId="3">
    <w:name w:val="Balloon Text"/>
    <w:basedOn w:val="1"/>
    <w:semiHidden/>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basedOn w:val="7"/>
    <w:link w:val="5"/>
    <w:uiPriority w:val="0"/>
    <w:rPr>
      <w:kern w:val="2"/>
      <w:sz w:val="18"/>
      <w:szCs w:val="18"/>
    </w:rPr>
  </w:style>
  <w:style w:type="paragraph" w:styleId="10">
    <w:name w:val="List Paragraph"/>
    <w:basedOn w:val="1"/>
    <w:qFormat/>
    <w:uiPriority w:val="34"/>
    <w:pPr>
      <w:ind w:firstLine="420" w:firstLineChars="200"/>
    </w:pPr>
  </w:style>
  <w:style w:type="character" w:customStyle="1" w:styleId="11">
    <w:name w:val="文档结构图 Char"/>
    <w:basedOn w:val="7"/>
    <w:link w:val="2"/>
    <w:uiPriority w:val="0"/>
    <w:rPr>
      <w:rFonts w:ascii="宋体"/>
      <w:kern w:val="2"/>
      <w:sz w:val="18"/>
      <w:szCs w:val="18"/>
    </w:rPr>
  </w:style>
  <w:style w:type="character" w:customStyle="1" w:styleId="12">
    <w:name w:val="页脚 Char"/>
    <w:basedOn w:val="7"/>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6C957-D45F-47E6-A8C5-B1074BB206C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233</Words>
  <Characters>1334</Characters>
  <Lines>11</Lines>
  <Paragraphs>3</Paragraphs>
  <TotalTime>53</TotalTime>
  <ScaleCrop>false</ScaleCrop>
  <LinksUpToDate>false</LinksUpToDate>
  <CharactersWithSpaces>1564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2019-02-27T02:14:00Z</dcterms:created>
  <dc:creator>NYJ</dc:creator>
  <cp:lastModifiedBy>Administrator</cp:lastModifiedBy>
  <cp:lastPrinted>2020-02-07T01:56:00Z</cp:lastPrinted>
  <dcterms:modified xsi:type="dcterms:W3CDTF">2020-02-26T07:13:08Z</dcterms:modified>
  <dc:title>国务院批转发展改革委、能源办关于加快关停小火电机组若干意见的通知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