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eastAsia="方正小标宋_GBK"/>
          <w:sz w:val="36"/>
          <w:szCs w:val="30"/>
        </w:rPr>
      </w:pPr>
      <w:bookmarkStart w:id="0" w:name="_GoBack"/>
      <w:r>
        <w:rPr>
          <w:rFonts w:hint="eastAsia" w:ascii="方正小标宋_GBK" w:eastAsia="方正小标宋_GBK"/>
          <w:sz w:val="36"/>
          <w:szCs w:val="30"/>
        </w:rPr>
        <w:t>光伏发电市场环境监测评价方法及标准</w:t>
      </w:r>
    </w:p>
    <w:bookmarkEnd w:id="0"/>
    <w:p>
      <w:pPr>
        <w:jc w:val="center"/>
        <w:rPr>
          <w:rFonts w:ascii="方正小标宋_GBK" w:eastAsia="方正小标宋_GBK"/>
          <w:sz w:val="36"/>
          <w:szCs w:val="30"/>
        </w:rPr>
      </w:pPr>
      <w:r>
        <w:rPr>
          <w:rFonts w:hint="eastAsia" w:ascii="方正小标宋_GBK" w:eastAsia="方正小标宋_GBK"/>
          <w:sz w:val="36"/>
          <w:szCs w:val="30"/>
        </w:rPr>
        <w:t>（2019年修订版）</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一、评价方法</w:t>
      </w:r>
    </w:p>
    <w:p>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光伏发电市场环境监测评价采取综合评价与约束性指标判定相结合的方式。综合评价由各项竞争力评价指标和风险评价指标进行评分加总。总分不足60分，为红色；总分在60分以上、不足80分，为橙色；总分在80分以上，为绿色。约束性指标为弃光程度，弃光率10%以上的直接判定为红色。</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二、评价标准</w:t>
      </w:r>
    </w:p>
    <w:tbl>
      <w:tblPr>
        <w:tblStyle w:val="16"/>
        <w:tblW w:w="82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1"/>
        <w:gridCol w:w="859"/>
        <w:gridCol w:w="844"/>
        <w:gridCol w:w="57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tblHeader/>
          <w:jc w:val="center"/>
        </w:trPr>
        <w:tc>
          <w:tcPr>
            <w:tcW w:w="831" w:type="dxa"/>
            <w:vAlign w:val="center"/>
          </w:tcPr>
          <w:p>
            <w:pPr>
              <w:jc w:val="center"/>
              <w:outlineLvl w:val="0"/>
              <w:rPr>
                <w:rFonts w:ascii="方正黑体_GBK" w:eastAsia="方正黑体_GBK"/>
                <w:bCs/>
                <w:sz w:val="28"/>
                <w:szCs w:val="28"/>
              </w:rPr>
            </w:pPr>
            <w:r>
              <w:rPr>
                <w:rFonts w:hint="eastAsia" w:ascii="方正黑体_GBK" w:eastAsia="方正黑体_GBK"/>
                <w:bCs/>
                <w:sz w:val="28"/>
                <w:szCs w:val="28"/>
              </w:rPr>
              <w:t>项目</w:t>
            </w:r>
          </w:p>
        </w:tc>
        <w:tc>
          <w:tcPr>
            <w:tcW w:w="859" w:type="dxa"/>
            <w:vAlign w:val="center"/>
          </w:tcPr>
          <w:p>
            <w:pPr>
              <w:jc w:val="center"/>
              <w:outlineLvl w:val="0"/>
              <w:rPr>
                <w:rFonts w:ascii="方正黑体_GBK" w:eastAsia="方正黑体_GBK"/>
                <w:bCs/>
                <w:sz w:val="28"/>
                <w:szCs w:val="28"/>
              </w:rPr>
            </w:pPr>
            <w:r>
              <w:rPr>
                <w:rFonts w:hint="eastAsia" w:ascii="方正黑体_GBK" w:eastAsia="方正黑体_GBK"/>
                <w:bCs/>
                <w:sz w:val="28"/>
                <w:szCs w:val="28"/>
              </w:rPr>
              <w:t>内容</w:t>
            </w:r>
          </w:p>
        </w:tc>
        <w:tc>
          <w:tcPr>
            <w:tcW w:w="844" w:type="dxa"/>
            <w:vAlign w:val="center"/>
          </w:tcPr>
          <w:p>
            <w:pPr>
              <w:jc w:val="center"/>
              <w:outlineLvl w:val="0"/>
              <w:rPr>
                <w:rFonts w:ascii="方正黑体_GBK" w:eastAsia="方正黑体_GBK"/>
                <w:bCs/>
                <w:sz w:val="28"/>
                <w:szCs w:val="28"/>
              </w:rPr>
            </w:pPr>
            <w:r>
              <w:rPr>
                <w:rFonts w:hint="eastAsia" w:ascii="方正黑体_GBK" w:eastAsia="方正黑体_GBK"/>
                <w:bCs/>
                <w:sz w:val="28"/>
                <w:szCs w:val="28"/>
              </w:rPr>
              <w:t>分值</w:t>
            </w:r>
          </w:p>
        </w:tc>
        <w:tc>
          <w:tcPr>
            <w:tcW w:w="5724" w:type="dxa"/>
            <w:vAlign w:val="center"/>
          </w:tcPr>
          <w:p>
            <w:pPr>
              <w:jc w:val="center"/>
              <w:outlineLvl w:val="0"/>
              <w:rPr>
                <w:rFonts w:ascii="方正黑体_GBK" w:eastAsia="方正黑体_GBK"/>
                <w:bCs/>
                <w:sz w:val="28"/>
                <w:szCs w:val="28"/>
              </w:rPr>
            </w:pPr>
            <w:r>
              <w:rPr>
                <w:rFonts w:hint="eastAsia" w:ascii="方正黑体_GBK" w:eastAsia="方正黑体_GBK"/>
                <w:bCs/>
                <w:sz w:val="28"/>
                <w:szCs w:val="28"/>
              </w:rPr>
              <w:t>评价标准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5" w:hRule="atLeast"/>
          <w:jc w:val="center"/>
        </w:trPr>
        <w:tc>
          <w:tcPr>
            <w:tcW w:w="831" w:type="dxa"/>
            <w:vMerge w:val="restart"/>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一、竞争力评价指标</w:t>
            </w: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1.1土地条件</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按照评价年度统计的新建光伏电站土地使用成本（按新增用地面积折算用地成本至各年，不含城镇土地使用税和耕地占用税）和土地税征收情况（包括城镇土地使用税和耕地占用税）分两项进行综合评分：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1、用地成本300元/亩年以下，得10分；用地成本在300元/亩年以上、不足1000元/亩年的，每增加100元/亩年，减1分；用地成本在1000元/亩年以上，每增加100元/亩年，减2分。</w:t>
            </w:r>
          </w:p>
          <w:p>
            <w:pPr>
              <w:spacing w:line="440" w:lineRule="exact"/>
              <w:jc w:val="left"/>
              <w:outlineLvl w:val="0"/>
              <w:rPr>
                <w:rFonts w:ascii="仿宋_GB2312" w:eastAsia="仿宋_GB2312"/>
                <w:sz w:val="28"/>
                <w:szCs w:val="28"/>
              </w:rPr>
            </w:pPr>
            <w:r>
              <w:rPr>
                <w:rFonts w:hint="eastAsia" w:ascii="仿宋_GB2312" w:eastAsia="仿宋_GB2312"/>
                <w:sz w:val="28"/>
                <w:szCs w:val="28"/>
              </w:rPr>
              <w:t>2、耕地占用税征收部分占总用地面积比例，每超过10%，减5分；城镇土地使用税征收部分占总用地面积比例，每超过5%，减5分。</w:t>
            </w:r>
          </w:p>
          <w:p>
            <w:pPr>
              <w:spacing w:line="440" w:lineRule="exact"/>
              <w:jc w:val="left"/>
              <w:outlineLvl w:val="0"/>
              <w:rPr>
                <w:rFonts w:ascii="仿宋_GB2312" w:eastAsia="仿宋_GB2312"/>
                <w:sz w:val="28"/>
                <w:szCs w:val="28"/>
              </w:rPr>
            </w:pPr>
            <w:r>
              <w:rPr>
                <w:rFonts w:hint="eastAsia" w:ascii="仿宋_GB2312" w:eastAsia="仿宋_GB2312"/>
                <w:sz w:val="28"/>
                <w:szCs w:val="28"/>
              </w:rPr>
              <w:t>总分减至0分为止。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1.2地方政府服务</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按照地方政府普通光伏电站和工商业分布式光伏项目资源配置工作服务水平分三项进行评分：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1、竞争性配置（3分）：出台省级统一的普通光伏电站和工商业分布式光伏项目竞争性配置办法，得3分；仅出台地市级、县级竞争性配置办法的，分别得2分、1分。</w:t>
            </w:r>
          </w:p>
          <w:p>
            <w:pPr>
              <w:spacing w:line="440" w:lineRule="exact"/>
              <w:jc w:val="left"/>
              <w:outlineLvl w:val="0"/>
              <w:rPr>
                <w:rFonts w:ascii="仿宋_GB2312" w:eastAsia="仿宋_GB2312"/>
                <w:sz w:val="28"/>
                <w:szCs w:val="28"/>
              </w:rPr>
            </w:pPr>
            <w:r>
              <w:rPr>
                <w:rFonts w:hint="eastAsia" w:ascii="仿宋_GB2312" w:eastAsia="仿宋_GB2312"/>
                <w:sz w:val="28"/>
                <w:szCs w:val="28"/>
              </w:rPr>
              <w:t>2、附加条件（4分）：地方政府在普通光伏电站和工商业分布式光伏项目资源配置工作中无任何附加条件要求（包括摊派、产业配套等各类附加条件要求）的，得4分；每增加一个附加条件要求，减1分，扣完为止。</w:t>
            </w:r>
          </w:p>
          <w:p>
            <w:pPr>
              <w:spacing w:line="440" w:lineRule="exact"/>
              <w:jc w:val="left"/>
              <w:outlineLvl w:val="0"/>
              <w:rPr>
                <w:rFonts w:ascii="仿宋_GB2312" w:eastAsia="仿宋_GB2312"/>
                <w:sz w:val="28"/>
                <w:szCs w:val="28"/>
              </w:rPr>
            </w:pPr>
            <w:r>
              <w:rPr>
                <w:rFonts w:hint="eastAsia" w:ascii="仿宋_GB2312" w:eastAsia="仿宋_GB2312"/>
                <w:sz w:val="28"/>
                <w:szCs w:val="28"/>
              </w:rPr>
              <w:t>3、服务评价（3分）：根据企业调查、市场投诉、媒体监督反映情况进行综合评分。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5"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1.3电网企业服务</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按照电网企业前期工作和配套送出工程建设/回购情况分两项进行评分：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1、前期工作服务（5分）：电网接入系统方案批复平均工作周期3个月以内的，得5分；每增加1个月，减1分，扣完为止。</w:t>
            </w:r>
          </w:p>
          <w:p>
            <w:pPr>
              <w:spacing w:line="440" w:lineRule="exact"/>
              <w:jc w:val="left"/>
              <w:outlineLvl w:val="0"/>
              <w:rPr>
                <w:rFonts w:ascii="仿宋_GB2312" w:eastAsia="仿宋_GB2312"/>
                <w:sz w:val="28"/>
                <w:szCs w:val="28"/>
              </w:rPr>
            </w:pPr>
            <w:r>
              <w:rPr>
                <w:rFonts w:hint="eastAsia" w:ascii="仿宋_GB2312" w:eastAsia="仿宋_GB2312"/>
                <w:sz w:val="28"/>
                <w:szCs w:val="28"/>
              </w:rPr>
              <w:t>2、配套送出工程建设/回购（5分）：省级电网按项目建设周期及时建设配套送出工程，且对以前发电企业投资建设送出工程一年内完成回购的，得5分；省级电网未及时按项目建设周期建设配套送出工程，或对以前发电企业投资建设送出工程未在一年内完成回购的，得3分；省级电网未及时按项目建设周期建设配套送出工程，且对以前发电企业投资建设送出工程未在一年内完成回购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1"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1.4地方政府补贴力度</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5</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按各级地方政府补贴政策出台情况进行评分：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省级政府出台补贴政策，加2分；</w:t>
            </w:r>
          </w:p>
          <w:p>
            <w:pPr>
              <w:spacing w:line="440" w:lineRule="exact"/>
              <w:jc w:val="left"/>
              <w:outlineLvl w:val="0"/>
              <w:rPr>
                <w:rFonts w:ascii="仿宋_GB2312" w:eastAsia="仿宋_GB2312"/>
                <w:sz w:val="28"/>
                <w:szCs w:val="28"/>
              </w:rPr>
            </w:pPr>
            <w:r>
              <w:rPr>
                <w:rFonts w:hint="eastAsia" w:ascii="仿宋_GB2312" w:eastAsia="仿宋_GB2312"/>
                <w:sz w:val="28"/>
                <w:szCs w:val="28"/>
              </w:rPr>
              <w:t>市级政府出台补贴政策，加2分；</w:t>
            </w:r>
          </w:p>
          <w:p>
            <w:pPr>
              <w:spacing w:line="440" w:lineRule="exact"/>
              <w:jc w:val="left"/>
              <w:outlineLvl w:val="0"/>
              <w:rPr>
                <w:rFonts w:ascii="仿宋_GB2312" w:eastAsia="仿宋_GB2312"/>
                <w:sz w:val="28"/>
                <w:szCs w:val="28"/>
              </w:rPr>
            </w:pPr>
            <w:r>
              <w:rPr>
                <w:rFonts w:hint="eastAsia" w:ascii="仿宋_GB2312" w:eastAsia="仿宋_GB2312"/>
                <w:sz w:val="28"/>
                <w:szCs w:val="28"/>
              </w:rPr>
              <w:t>县级政府出台补贴政策，加1分；</w:t>
            </w:r>
          </w:p>
          <w:p>
            <w:pPr>
              <w:spacing w:line="440" w:lineRule="exact"/>
              <w:jc w:val="left"/>
              <w:outlineLvl w:val="0"/>
              <w:rPr>
                <w:rFonts w:ascii="仿宋_GB2312" w:eastAsia="仿宋_GB2312"/>
                <w:sz w:val="28"/>
                <w:szCs w:val="28"/>
              </w:rPr>
            </w:pPr>
            <w:r>
              <w:rPr>
                <w:rFonts w:hint="eastAsia" w:ascii="仿宋_GB2312" w:eastAsia="仿宋_GB2312"/>
                <w:sz w:val="28"/>
                <w:szCs w:val="28"/>
              </w:rPr>
              <w:t>最高为5分。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48" w:hRule="atLeast"/>
          <w:jc w:val="center"/>
        </w:trPr>
        <w:tc>
          <w:tcPr>
            <w:tcW w:w="831" w:type="dxa"/>
            <w:vMerge w:val="restart"/>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二、风险评价指标</w:t>
            </w: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2.1 弃光程度</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30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按评价年度弃光程度并结合保障小时数完成情况进行评分：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无弃光的，得30分；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弃光率不超过1%的，得29分；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弃光率高于1%、不超过2%的，得28分；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弃光率高于2%、不超过3%的，得27分；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弃光率高于3%、不超过3.5%的，得25分；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弃光率高于3.5%、不超过4%的，得23分；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弃光率高于4%、不超过4.5%的，得21分；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弃光率高于4.5%、不超过5%的，得18分；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弃光率高于5%、不超过6%的，得15分；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弃光率高于6%、不超过7%的，得12分；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弃光率高于7%、不超过8%的，得9分；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弃光率高于8%、不超过9%的，得6分；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弃光率高于9%、不足10%的，得3分；</w:t>
            </w:r>
          </w:p>
          <w:p>
            <w:pPr>
              <w:spacing w:line="440" w:lineRule="exact"/>
              <w:jc w:val="left"/>
              <w:outlineLvl w:val="0"/>
              <w:rPr>
                <w:rFonts w:ascii="仿宋_GB2312" w:eastAsia="仿宋_GB2312"/>
                <w:sz w:val="28"/>
                <w:szCs w:val="28"/>
              </w:rPr>
            </w:pPr>
            <w:r>
              <w:rPr>
                <w:rFonts w:hint="eastAsia" w:ascii="仿宋_GB2312" w:eastAsia="仿宋_GB2312"/>
                <w:sz w:val="28"/>
                <w:szCs w:val="28"/>
              </w:rPr>
              <w:t>弃光率10%以上的，直接判定为红色。</w:t>
            </w:r>
          </w:p>
          <w:p>
            <w:pPr>
              <w:spacing w:line="440" w:lineRule="exact"/>
              <w:jc w:val="left"/>
              <w:outlineLvl w:val="0"/>
              <w:rPr>
                <w:rFonts w:ascii="仿宋_GB2312" w:eastAsia="仿宋_GB2312"/>
                <w:sz w:val="28"/>
                <w:szCs w:val="28"/>
              </w:rPr>
            </w:pPr>
            <w:r>
              <w:rPr>
                <w:rFonts w:hint="eastAsia" w:ascii="仿宋_GB2312" w:eastAsia="仿宋_GB2312"/>
                <w:sz w:val="28"/>
                <w:szCs w:val="28"/>
              </w:rPr>
              <w:t>达到国家核定保障小时数，但按弃光率评分低于18分的，按18分计。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5"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2.2市场消纳风险</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5</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按评价年度其他可再生能源弃电情况进行评分：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无弃水和弃风的，得5分；</w:t>
            </w:r>
          </w:p>
          <w:p>
            <w:pPr>
              <w:spacing w:line="440" w:lineRule="exact"/>
              <w:jc w:val="left"/>
              <w:outlineLvl w:val="0"/>
              <w:rPr>
                <w:rFonts w:ascii="仿宋_GB2312" w:eastAsia="仿宋_GB2312"/>
                <w:sz w:val="28"/>
                <w:szCs w:val="28"/>
              </w:rPr>
            </w:pPr>
            <w:r>
              <w:rPr>
                <w:rFonts w:hint="eastAsia" w:ascii="仿宋_GB2312" w:eastAsia="仿宋_GB2312"/>
                <w:sz w:val="28"/>
                <w:szCs w:val="28"/>
              </w:rPr>
              <w:t>水能利用率在95%以上且弃风率不足10%的，得3分；</w:t>
            </w:r>
          </w:p>
          <w:p>
            <w:pPr>
              <w:spacing w:line="440" w:lineRule="exact"/>
              <w:jc w:val="left"/>
              <w:outlineLvl w:val="0"/>
              <w:rPr>
                <w:rFonts w:ascii="仿宋_GB2312" w:eastAsia="仿宋_GB2312"/>
                <w:sz w:val="28"/>
                <w:szCs w:val="28"/>
              </w:rPr>
            </w:pPr>
            <w:r>
              <w:rPr>
                <w:rFonts w:hint="eastAsia" w:ascii="仿宋_GB2312" w:eastAsia="仿宋_GB2312"/>
                <w:sz w:val="28"/>
                <w:szCs w:val="28"/>
              </w:rPr>
              <w:t>水能利用率不足95%或弃风率在10%以上的，得1分；</w:t>
            </w:r>
          </w:p>
          <w:p>
            <w:pPr>
              <w:spacing w:line="440" w:lineRule="exact"/>
              <w:jc w:val="left"/>
              <w:outlineLvl w:val="0"/>
              <w:rPr>
                <w:rFonts w:ascii="仿宋_GB2312" w:eastAsia="仿宋_GB2312"/>
                <w:sz w:val="28"/>
                <w:szCs w:val="28"/>
              </w:rPr>
            </w:pPr>
            <w:r>
              <w:rPr>
                <w:rFonts w:hint="eastAsia" w:ascii="仿宋_GB2312" w:eastAsia="仿宋_GB2312"/>
                <w:sz w:val="28"/>
                <w:szCs w:val="28"/>
              </w:rPr>
              <w:t>水能利用率不足95%且弃风率在10%以上的，得0分；</w:t>
            </w:r>
          </w:p>
          <w:p>
            <w:pPr>
              <w:spacing w:line="440" w:lineRule="exact"/>
              <w:jc w:val="left"/>
              <w:outlineLvl w:val="0"/>
              <w:rPr>
                <w:rFonts w:ascii="仿宋_GB2312" w:eastAsia="仿宋_GB2312"/>
                <w:sz w:val="28"/>
                <w:szCs w:val="28"/>
              </w:rPr>
            </w:pPr>
            <w:r>
              <w:rPr>
                <w:rFonts w:hint="eastAsia" w:ascii="仿宋_GB2312" w:eastAsia="仿宋_GB2312"/>
                <w:sz w:val="28"/>
                <w:szCs w:val="28"/>
              </w:rPr>
              <w:t>无弃光但该项得分低于3分的，按3分计。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109"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2.3全额保障性收购政策落实程度</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10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按评价年度地区普通光伏电站落实全额保障性收购政策情况进行评分：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实现全额保障性收购的，得10分；</w:t>
            </w:r>
          </w:p>
          <w:p>
            <w:pPr>
              <w:spacing w:line="440" w:lineRule="exact"/>
              <w:jc w:val="left"/>
              <w:outlineLvl w:val="0"/>
              <w:rPr>
                <w:rFonts w:ascii="仿宋_GB2312" w:eastAsia="仿宋_GB2312"/>
                <w:sz w:val="28"/>
                <w:szCs w:val="28"/>
              </w:rPr>
            </w:pPr>
            <w:r>
              <w:rPr>
                <w:rFonts w:hint="eastAsia" w:ascii="仿宋_GB2312" w:eastAsia="仿宋_GB2312"/>
                <w:sz w:val="28"/>
                <w:szCs w:val="28"/>
              </w:rPr>
              <w:t>按全额保障性收购有关规定，保障性小时数以内的电量保价保量收购的得8分；保价保量收购比例不低于保障性小时数90%、80%的，分别得6分、4分；不足80%的，得0分。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4" w:hRule="atLeast"/>
          <w:jc w:val="center"/>
        </w:trPr>
        <w:tc>
          <w:tcPr>
            <w:tcW w:w="831" w:type="dxa"/>
            <w:vMerge w:val="continue"/>
            <w:vAlign w:val="center"/>
          </w:tcPr>
          <w:p>
            <w:pPr>
              <w:spacing w:line="440" w:lineRule="exact"/>
              <w:jc w:val="center"/>
              <w:outlineLvl w:val="0"/>
              <w:rPr>
                <w:rFonts w:ascii="仿宋_GB2312" w:eastAsia="仿宋_GB2312"/>
                <w:sz w:val="28"/>
                <w:szCs w:val="28"/>
              </w:rPr>
            </w:pPr>
          </w:p>
        </w:tc>
        <w:tc>
          <w:tcPr>
            <w:tcW w:w="859"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2.4 年度项目建设情况</w:t>
            </w:r>
          </w:p>
        </w:tc>
        <w:tc>
          <w:tcPr>
            <w:tcW w:w="844" w:type="dxa"/>
            <w:vAlign w:val="center"/>
          </w:tcPr>
          <w:p>
            <w:pPr>
              <w:spacing w:line="440" w:lineRule="exact"/>
              <w:jc w:val="center"/>
              <w:outlineLvl w:val="0"/>
              <w:rPr>
                <w:rFonts w:ascii="仿宋_GB2312" w:eastAsia="仿宋_GB2312"/>
                <w:sz w:val="28"/>
                <w:szCs w:val="28"/>
              </w:rPr>
            </w:pPr>
            <w:r>
              <w:rPr>
                <w:rFonts w:hint="eastAsia" w:ascii="仿宋_GB2312" w:eastAsia="仿宋_GB2312"/>
                <w:sz w:val="28"/>
                <w:szCs w:val="28"/>
              </w:rPr>
              <w:t>20</w:t>
            </w:r>
          </w:p>
        </w:tc>
        <w:tc>
          <w:tcPr>
            <w:tcW w:w="5724" w:type="dxa"/>
            <w:vAlign w:val="center"/>
          </w:tcPr>
          <w:p>
            <w:pPr>
              <w:spacing w:line="440" w:lineRule="exact"/>
              <w:jc w:val="left"/>
              <w:outlineLvl w:val="0"/>
              <w:rPr>
                <w:rFonts w:ascii="仿宋_GB2312" w:eastAsia="仿宋_GB2312"/>
                <w:sz w:val="28"/>
                <w:szCs w:val="28"/>
              </w:rPr>
            </w:pPr>
            <w:r>
              <w:rPr>
                <w:rFonts w:hint="eastAsia" w:ascii="仿宋_GB2312" w:eastAsia="仿宋_GB2312"/>
                <w:sz w:val="28"/>
                <w:szCs w:val="28"/>
              </w:rPr>
              <w:t>按以下标准并分三种情形进行评分：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1、评分标准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在国家相关政策规定时间内全容量并网的，得20分；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在国家相关政策规定时间内并网容量占比90%以上、不足100%的，得18分；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在国家相关政策规定时间内并网容量占比80%以上、不足90%的，得16分；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在国家相关政策规定时间内并网容量占比70%以上、不足80%的，得14分；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在国家相关政策规定时间内并网容量占比60%以上、不足70%的，得12分；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在国家相关政策规定时间内并网容量占比50%以上，不足60%的，得10分。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在国家相关政策规定时间内并网容量占比40%以上，不足50%的，得8分。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在国家相关政策规定时间内并网容量占比30%以上，不足40%的，得5分。</w:t>
            </w:r>
          </w:p>
          <w:p>
            <w:pPr>
              <w:spacing w:line="440" w:lineRule="exact"/>
              <w:jc w:val="left"/>
              <w:outlineLvl w:val="0"/>
              <w:rPr>
                <w:rFonts w:ascii="仿宋_GB2312" w:eastAsia="仿宋_GB2312"/>
                <w:sz w:val="28"/>
                <w:szCs w:val="28"/>
              </w:rPr>
            </w:pPr>
            <w:r>
              <w:rPr>
                <w:rFonts w:hint="eastAsia" w:ascii="仿宋_GB2312" w:eastAsia="仿宋_GB2312"/>
                <w:sz w:val="28"/>
                <w:szCs w:val="28"/>
              </w:rPr>
              <w:t>在国家相关政策规定时间内并网容量占比不足30%的，得0分。</w:t>
            </w:r>
          </w:p>
          <w:p>
            <w:pPr>
              <w:spacing w:line="440" w:lineRule="exact"/>
              <w:jc w:val="left"/>
              <w:outlineLvl w:val="0"/>
              <w:rPr>
                <w:rFonts w:ascii="仿宋_GB2312" w:eastAsia="仿宋_GB2312"/>
                <w:sz w:val="28"/>
                <w:szCs w:val="28"/>
              </w:rPr>
            </w:pPr>
            <w:r>
              <w:rPr>
                <w:rFonts w:hint="eastAsia" w:ascii="仿宋_GB2312" w:eastAsia="仿宋_GB2312"/>
                <w:sz w:val="28"/>
                <w:szCs w:val="28"/>
              </w:rPr>
              <w:t>2、评分办法</w:t>
            </w:r>
          </w:p>
          <w:p>
            <w:pPr>
              <w:spacing w:line="440" w:lineRule="exact"/>
              <w:jc w:val="left"/>
              <w:outlineLvl w:val="0"/>
              <w:rPr>
                <w:rFonts w:ascii="仿宋_GB2312" w:eastAsia="仿宋_GB2312"/>
                <w:sz w:val="28"/>
                <w:szCs w:val="28"/>
              </w:rPr>
            </w:pPr>
            <w:r>
              <w:rPr>
                <w:rFonts w:hint="eastAsia" w:ascii="仿宋_GB2312" w:eastAsia="仿宋_GB2312"/>
                <w:sz w:val="28"/>
                <w:szCs w:val="28"/>
              </w:rPr>
              <w:t>根据各省份（资源区）项目建设情况分为三种情形进行评分：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情形一：未开展光伏领跑基地及示范基地建设的省份（资源区）。</w:t>
            </w:r>
          </w:p>
          <w:p>
            <w:pPr>
              <w:spacing w:line="440" w:lineRule="exact"/>
              <w:jc w:val="left"/>
              <w:outlineLvl w:val="0"/>
              <w:rPr>
                <w:rFonts w:ascii="仿宋_GB2312" w:eastAsia="仿宋_GB2312"/>
                <w:sz w:val="28"/>
                <w:szCs w:val="28"/>
              </w:rPr>
            </w:pPr>
            <w:r>
              <w:rPr>
                <w:rFonts w:hint="eastAsia" w:ascii="仿宋_GB2312" w:eastAsia="仿宋_GB2312"/>
                <w:sz w:val="28"/>
                <w:szCs w:val="28"/>
              </w:rPr>
              <w:t>对于评价年度已入选的光伏补贴竞价项目和国家公布的平价上网项目，按照实际并网总容量进行评分。</w:t>
            </w:r>
          </w:p>
          <w:p>
            <w:pPr>
              <w:spacing w:line="440" w:lineRule="exact"/>
              <w:jc w:val="left"/>
              <w:outlineLvl w:val="0"/>
              <w:rPr>
                <w:rFonts w:ascii="仿宋_GB2312" w:eastAsia="仿宋_GB2312"/>
                <w:sz w:val="28"/>
                <w:szCs w:val="28"/>
              </w:rPr>
            </w:pPr>
            <w:r>
              <w:rPr>
                <w:rFonts w:hint="eastAsia" w:ascii="仿宋_GB2312" w:eastAsia="仿宋_GB2312"/>
                <w:sz w:val="28"/>
                <w:szCs w:val="28"/>
              </w:rPr>
              <w:t>情形二：开展光伏领跑基地或示范基地的省份（资源区）。评分由以下两部分得分相加。</w:t>
            </w:r>
          </w:p>
          <w:p>
            <w:pPr>
              <w:spacing w:line="440" w:lineRule="exact"/>
              <w:jc w:val="left"/>
              <w:outlineLvl w:val="0"/>
              <w:rPr>
                <w:rFonts w:ascii="仿宋_GB2312" w:eastAsia="仿宋_GB2312"/>
                <w:sz w:val="28"/>
                <w:szCs w:val="28"/>
              </w:rPr>
            </w:pPr>
            <w:r>
              <w:rPr>
                <w:rFonts w:hint="eastAsia" w:ascii="仿宋_GB2312" w:eastAsia="仿宋_GB2312"/>
                <w:sz w:val="28"/>
                <w:szCs w:val="28"/>
              </w:rPr>
              <w:t>1）对于评价年度已入选的光伏补贴竞价项目和国家公布的平价上网项目，按照实际并网总容量进行评分，权重为70%。</w:t>
            </w:r>
          </w:p>
          <w:p>
            <w:pPr>
              <w:spacing w:line="440" w:lineRule="exact"/>
              <w:jc w:val="left"/>
              <w:outlineLvl w:val="0"/>
              <w:rPr>
                <w:rFonts w:ascii="仿宋_GB2312" w:eastAsia="仿宋_GB2312"/>
                <w:sz w:val="28"/>
                <w:szCs w:val="28"/>
              </w:rPr>
            </w:pPr>
            <w:r>
              <w:rPr>
                <w:rFonts w:hint="eastAsia" w:ascii="仿宋_GB2312" w:eastAsia="仿宋_GB2312"/>
                <w:sz w:val="28"/>
                <w:szCs w:val="28"/>
              </w:rPr>
              <w:t>2）对于光伏领跑基地项目（含二、三期应用领跑基地和技术领跑基地）和示范基地项目（不含跨省跨区输电通道配套光伏项目），按照实际并网容量进行评分，权重30%。</w:t>
            </w:r>
          </w:p>
          <w:p>
            <w:pPr>
              <w:spacing w:line="440" w:lineRule="exact"/>
              <w:rPr>
                <w:rFonts w:ascii="仿宋_GB2312" w:eastAsia="仿宋_GB2312"/>
                <w:sz w:val="28"/>
                <w:szCs w:val="28"/>
              </w:rPr>
            </w:pPr>
            <w:r>
              <w:rPr>
                <w:rFonts w:hint="eastAsia" w:ascii="仿宋_GB2312" w:eastAsia="仿宋_GB2312"/>
                <w:sz w:val="28"/>
                <w:szCs w:val="28"/>
              </w:rPr>
              <w:t>情形三：评价年度未安排新建项目的省份（资源区）（不包括跨区跨省外送通道配套项目）。本项得分按照其余评价指标得分比例折算，即本项得分=20×（其余指标得分总和/80）。</w:t>
            </w:r>
          </w:p>
        </w:tc>
      </w:tr>
    </w:tbl>
    <w:p>
      <w:pPr>
        <w:snapToGrid w:val="0"/>
        <w:rPr>
          <w:rFonts w:ascii="仿宋_GB2312" w:eastAsia="仿宋_GB2312"/>
          <w:sz w:val="24"/>
        </w:rPr>
      </w:pPr>
      <w:r>
        <w:rPr>
          <w:rFonts w:hint="eastAsia" w:ascii="仿宋_GB2312" w:eastAsia="仿宋_GB2312"/>
          <w:sz w:val="24"/>
        </w:rPr>
        <w:t>备注：1、按照年等效满负荷利用小时数评价是否达到保障小时数。年等效满负荷利用小时数根据选取地区评价年度之前全场建成并网投产的光伏电站进行统计计算，年等效满负荷利用小时数=纳入统计的光伏电站年上网电量总和/纳入统计的光伏电站装机容量总和。</w:t>
      </w:r>
    </w:p>
    <w:p>
      <w:pPr>
        <w:snapToGrid w:val="0"/>
        <w:ind w:firstLine="720" w:firstLineChars="300"/>
        <w:rPr>
          <w:rFonts w:ascii="仿宋_GB2312" w:eastAsia="仿宋_GB2312"/>
          <w:sz w:val="24"/>
        </w:rPr>
      </w:pPr>
      <w:r>
        <w:rPr>
          <w:rFonts w:hint="eastAsia" w:ascii="仿宋_GB2312" w:eastAsia="仿宋_GB2312"/>
          <w:sz w:val="24"/>
        </w:rPr>
        <w:t xml:space="preserve">2、弃光率根据选取地区评价年度之前全场建成并网投产的光伏电站进行统计计算，弃光率=A/(A+B)×100%,其中A代表纳入统计的光伏电站年弃光电量总和，B代表纳入统计的光伏电站评价年度上网电量总和。 </w:t>
      </w:r>
    </w:p>
    <w:p>
      <w:pPr>
        <w:snapToGrid w:val="0"/>
        <w:ind w:firstLine="720" w:firstLineChars="300"/>
        <w:rPr>
          <w:rFonts w:ascii="仿宋_GB2312" w:eastAsia="仿宋_GB2312"/>
          <w:sz w:val="24"/>
        </w:rPr>
      </w:pPr>
      <w:r>
        <w:rPr>
          <w:rFonts w:hint="eastAsia" w:ascii="仿宋_GB2312" w:eastAsia="仿宋_GB2312"/>
          <w:sz w:val="24"/>
        </w:rPr>
        <w:t>3、表中“以上、以下、以内、以外、超过”均含本数，“高于、不足”均不含本数。</w:t>
      </w:r>
    </w:p>
    <w:p>
      <w:pPr>
        <w:snapToGrid w:val="0"/>
        <w:ind w:firstLine="720" w:firstLineChars="300"/>
        <w:rPr>
          <w:rFonts w:ascii="仿宋_GB2312" w:eastAsia="仿宋_GB2312"/>
          <w:sz w:val="24"/>
        </w:rPr>
      </w:pPr>
      <w:r>
        <w:rPr>
          <w:rFonts w:hint="eastAsia" w:ascii="仿宋_GB2312" w:eastAsia="仿宋_GB2312"/>
          <w:sz w:val="24"/>
        </w:rPr>
        <w:t>4、对以分布式光伏发电为主的省份（评价期分布式光伏累计装机容量超过全省总装机容量50%的），“1.1 土地条件”评分标准依据评价期分布式光伏发电装机容量占比进行适度调整，具体方法为：最终得分=本省光伏电站得分×本省光伏电站累计装机容量/本省光伏发电累计装机容量+本项满分值×本省分布式光伏发电累计装机容量/本省光伏发电累计装机容量。最终得分四舍五入取整。</w:t>
      </w:r>
    </w:p>
    <w:p>
      <w:pPr>
        <w:snapToGrid w:val="0"/>
        <w:ind w:firstLine="720" w:firstLineChars="300"/>
        <w:rPr>
          <w:rFonts w:eastAsia="方正仿宋_GBK"/>
          <w:sz w:val="24"/>
        </w:rPr>
      </w:pPr>
      <w:r>
        <w:rPr>
          <w:rFonts w:hint="eastAsia" w:ascii="仿宋_GB2312" w:eastAsia="仿宋_GB2312"/>
          <w:sz w:val="24"/>
        </w:rPr>
        <w:t>5、示范基地指国家下达的各类示范性基地（不包括跨区跨省外送通道配套项目）、市级/县级示范（园）区等。截至2019年底，国家下达的示范基地主要包括：张家口市可再生能源示范区、山西太原市西山新能源示范园区、内蒙古库布齐治沙示范项目、安徽金寨国家高比例可再生能源示范县、甘肃河西走廊清洁能源基地等。后续根据国家下达规模情况动态调整。</w:t>
      </w:r>
    </w:p>
    <w:p>
      <w:pPr>
        <w:autoSpaceDE w:val="0"/>
        <w:autoSpaceDN w:val="0"/>
        <w:adjustRightInd w:val="0"/>
        <w:spacing w:afterLines="50"/>
        <w:jc w:val="center"/>
        <w:rPr>
          <w:rFonts w:ascii="仿宋_GB2312" w:eastAsia="仿宋_GB2312"/>
          <w:color w:val="000000" w:themeColor="text1"/>
          <w:sz w:val="32"/>
          <w:szCs w:val="32"/>
        </w:rPr>
      </w:pPr>
    </w:p>
    <w:p>
      <w:pPr>
        <w:adjustRightInd w:val="0"/>
        <w:snapToGrid w:val="0"/>
        <w:spacing w:line="360" w:lineRule="auto"/>
        <w:jc w:val="center"/>
      </w:pPr>
    </w:p>
    <w:sectPr>
      <w:footerReference r:id="rId4" w:type="first"/>
      <w:footerReference r:id="rId3" w:type="default"/>
      <w:pgSz w:w="11906" w:h="16838"/>
      <w:pgMar w:top="1440" w:right="1800" w:bottom="1440" w:left="1800"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5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50"/>
      <w:jc w:val="center"/>
      <w:rPr>
        <w:rFonts w:eastAsiaTheme="minorEastAsia"/>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EA"/>
    <w:rsid w:val="00014B1A"/>
    <w:rsid w:val="00015CFA"/>
    <w:rsid w:val="000225A8"/>
    <w:rsid w:val="00027D87"/>
    <w:rsid w:val="00051CE4"/>
    <w:rsid w:val="000613F1"/>
    <w:rsid w:val="00064E88"/>
    <w:rsid w:val="0007077E"/>
    <w:rsid w:val="00095C9D"/>
    <w:rsid w:val="000A4520"/>
    <w:rsid w:val="000B035C"/>
    <w:rsid w:val="000B343E"/>
    <w:rsid w:val="000E6339"/>
    <w:rsid w:val="000E6571"/>
    <w:rsid w:val="000E7AC0"/>
    <w:rsid w:val="000F0B9B"/>
    <w:rsid w:val="000F2B7B"/>
    <w:rsid w:val="0012242C"/>
    <w:rsid w:val="00142D07"/>
    <w:rsid w:val="001436DA"/>
    <w:rsid w:val="001512CF"/>
    <w:rsid w:val="00156481"/>
    <w:rsid w:val="0018784E"/>
    <w:rsid w:val="00194C36"/>
    <w:rsid w:val="001B6E07"/>
    <w:rsid w:val="001C04A4"/>
    <w:rsid w:val="001C27C5"/>
    <w:rsid w:val="001E18F8"/>
    <w:rsid w:val="001F41C2"/>
    <w:rsid w:val="00224819"/>
    <w:rsid w:val="00236680"/>
    <w:rsid w:val="0024408A"/>
    <w:rsid w:val="00246133"/>
    <w:rsid w:val="00252B93"/>
    <w:rsid w:val="0026726E"/>
    <w:rsid w:val="00270C3A"/>
    <w:rsid w:val="0028741B"/>
    <w:rsid w:val="00290370"/>
    <w:rsid w:val="002A18B8"/>
    <w:rsid w:val="002B5497"/>
    <w:rsid w:val="002B5E62"/>
    <w:rsid w:val="002D3B55"/>
    <w:rsid w:val="002D5F58"/>
    <w:rsid w:val="003276D0"/>
    <w:rsid w:val="00350B20"/>
    <w:rsid w:val="003565AC"/>
    <w:rsid w:val="00365031"/>
    <w:rsid w:val="0036572C"/>
    <w:rsid w:val="003778ED"/>
    <w:rsid w:val="003801A3"/>
    <w:rsid w:val="0038404A"/>
    <w:rsid w:val="003A7C8F"/>
    <w:rsid w:val="003B28EC"/>
    <w:rsid w:val="003B518C"/>
    <w:rsid w:val="003B70F6"/>
    <w:rsid w:val="003C730F"/>
    <w:rsid w:val="003D26FC"/>
    <w:rsid w:val="003F5719"/>
    <w:rsid w:val="003F7895"/>
    <w:rsid w:val="00432E50"/>
    <w:rsid w:val="004330AB"/>
    <w:rsid w:val="00433CAF"/>
    <w:rsid w:val="00435600"/>
    <w:rsid w:val="00435823"/>
    <w:rsid w:val="004418A0"/>
    <w:rsid w:val="00444503"/>
    <w:rsid w:val="00455ADD"/>
    <w:rsid w:val="004807A9"/>
    <w:rsid w:val="00484718"/>
    <w:rsid w:val="004A51A9"/>
    <w:rsid w:val="004A5215"/>
    <w:rsid w:val="004A61FD"/>
    <w:rsid w:val="004B03BF"/>
    <w:rsid w:val="004C1640"/>
    <w:rsid w:val="004C26A5"/>
    <w:rsid w:val="004C2E1F"/>
    <w:rsid w:val="004D2553"/>
    <w:rsid w:val="004E3675"/>
    <w:rsid w:val="004F71F8"/>
    <w:rsid w:val="00520B2E"/>
    <w:rsid w:val="00542633"/>
    <w:rsid w:val="00550556"/>
    <w:rsid w:val="005539BB"/>
    <w:rsid w:val="005668A1"/>
    <w:rsid w:val="0056724E"/>
    <w:rsid w:val="005734F8"/>
    <w:rsid w:val="005A6175"/>
    <w:rsid w:val="005C27F1"/>
    <w:rsid w:val="005C5E60"/>
    <w:rsid w:val="005F450A"/>
    <w:rsid w:val="006035D2"/>
    <w:rsid w:val="00606C00"/>
    <w:rsid w:val="00631F63"/>
    <w:rsid w:val="00650BF9"/>
    <w:rsid w:val="006673CE"/>
    <w:rsid w:val="00673EE4"/>
    <w:rsid w:val="00681945"/>
    <w:rsid w:val="00682118"/>
    <w:rsid w:val="006842B1"/>
    <w:rsid w:val="006866D0"/>
    <w:rsid w:val="00687C5F"/>
    <w:rsid w:val="006B13AC"/>
    <w:rsid w:val="006C2147"/>
    <w:rsid w:val="006C4BFE"/>
    <w:rsid w:val="006D37EB"/>
    <w:rsid w:val="006E0134"/>
    <w:rsid w:val="006E1541"/>
    <w:rsid w:val="006F078C"/>
    <w:rsid w:val="00704610"/>
    <w:rsid w:val="007053F1"/>
    <w:rsid w:val="00720F27"/>
    <w:rsid w:val="0072594A"/>
    <w:rsid w:val="00727CB9"/>
    <w:rsid w:val="00731A90"/>
    <w:rsid w:val="007340BF"/>
    <w:rsid w:val="00742F0E"/>
    <w:rsid w:val="00745879"/>
    <w:rsid w:val="0076376D"/>
    <w:rsid w:val="0076583D"/>
    <w:rsid w:val="007704C8"/>
    <w:rsid w:val="00783F20"/>
    <w:rsid w:val="00785704"/>
    <w:rsid w:val="00786354"/>
    <w:rsid w:val="007B2B26"/>
    <w:rsid w:val="007D56FC"/>
    <w:rsid w:val="007E4964"/>
    <w:rsid w:val="007E50BE"/>
    <w:rsid w:val="00800AC3"/>
    <w:rsid w:val="00805A64"/>
    <w:rsid w:val="008154E4"/>
    <w:rsid w:val="00817044"/>
    <w:rsid w:val="00825B1A"/>
    <w:rsid w:val="00874F90"/>
    <w:rsid w:val="0089342E"/>
    <w:rsid w:val="00894193"/>
    <w:rsid w:val="008B0AFA"/>
    <w:rsid w:val="008B13D0"/>
    <w:rsid w:val="008C44E3"/>
    <w:rsid w:val="008F7A71"/>
    <w:rsid w:val="00910074"/>
    <w:rsid w:val="0093649D"/>
    <w:rsid w:val="00976187"/>
    <w:rsid w:val="00976C13"/>
    <w:rsid w:val="009774A7"/>
    <w:rsid w:val="009A5858"/>
    <w:rsid w:val="009B282C"/>
    <w:rsid w:val="009B2B4B"/>
    <w:rsid w:val="00A1186D"/>
    <w:rsid w:val="00A11A89"/>
    <w:rsid w:val="00A161A4"/>
    <w:rsid w:val="00A25D64"/>
    <w:rsid w:val="00A27133"/>
    <w:rsid w:val="00A43974"/>
    <w:rsid w:val="00A55B18"/>
    <w:rsid w:val="00A745A2"/>
    <w:rsid w:val="00A83E98"/>
    <w:rsid w:val="00A9370A"/>
    <w:rsid w:val="00A975D2"/>
    <w:rsid w:val="00AA6D34"/>
    <w:rsid w:val="00AC14AF"/>
    <w:rsid w:val="00AE698E"/>
    <w:rsid w:val="00B0187B"/>
    <w:rsid w:val="00B05394"/>
    <w:rsid w:val="00B10A2C"/>
    <w:rsid w:val="00B11892"/>
    <w:rsid w:val="00B25015"/>
    <w:rsid w:val="00B34CC2"/>
    <w:rsid w:val="00B50CAC"/>
    <w:rsid w:val="00B56CAB"/>
    <w:rsid w:val="00B77032"/>
    <w:rsid w:val="00B7754C"/>
    <w:rsid w:val="00B8100B"/>
    <w:rsid w:val="00B817DC"/>
    <w:rsid w:val="00B85DD6"/>
    <w:rsid w:val="00B9196B"/>
    <w:rsid w:val="00BA0E68"/>
    <w:rsid w:val="00BA27B5"/>
    <w:rsid w:val="00BB003B"/>
    <w:rsid w:val="00BB3169"/>
    <w:rsid w:val="00BB632A"/>
    <w:rsid w:val="00BD4856"/>
    <w:rsid w:val="00BD60A7"/>
    <w:rsid w:val="00BF293E"/>
    <w:rsid w:val="00BF49E9"/>
    <w:rsid w:val="00C13B95"/>
    <w:rsid w:val="00C3124E"/>
    <w:rsid w:val="00C348E3"/>
    <w:rsid w:val="00C40850"/>
    <w:rsid w:val="00C45FFA"/>
    <w:rsid w:val="00C47982"/>
    <w:rsid w:val="00C6005D"/>
    <w:rsid w:val="00C6489F"/>
    <w:rsid w:val="00C679EA"/>
    <w:rsid w:val="00C82E16"/>
    <w:rsid w:val="00CA6F1B"/>
    <w:rsid w:val="00CB4074"/>
    <w:rsid w:val="00CC7889"/>
    <w:rsid w:val="00CD3721"/>
    <w:rsid w:val="00CD6CE1"/>
    <w:rsid w:val="00D01B39"/>
    <w:rsid w:val="00D029D9"/>
    <w:rsid w:val="00D11707"/>
    <w:rsid w:val="00D37DBD"/>
    <w:rsid w:val="00D446E9"/>
    <w:rsid w:val="00D974C5"/>
    <w:rsid w:val="00DB109E"/>
    <w:rsid w:val="00DB75BC"/>
    <w:rsid w:val="00DC0968"/>
    <w:rsid w:val="00DC157C"/>
    <w:rsid w:val="00DD0F8A"/>
    <w:rsid w:val="00DD328E"/>
    <w:rsid w:val="00DE10C5"/>
    <w:rsid w:val="00DF1505"/>
    <w:rsid w:val="00DF6416"/>
    <w:rsid w:val="00E1197C"/>
    <w:rsid w:val="00E315BA"/>
    <w:rsid w:val="00E318A9"/>
    <w:rsid w:val="00E33B79"/>
    <w:rsid w:val="00E83F1A"/>
    <w:rsid w:val="00EA0EC5"/>
    <w:rsid w:val="00EA34EC"/>
    <w:rsid w:val="00EA6FA8"/>
    <w:rsid w:val="00EB350C"/>
    <w:rsid w:val="00EB4183"/>
    <w:rsid w:val="00EC41EA"/>
    <w:rsid w:val="00ED7587"/>
    <w:rsid w:val="00EF4990"/>
    <w:rsid w:val="00F120BA"/>
    <w:rsid w:val="00F2240F"/>
    <w:rsid w:val="00F27F67"/>
    <w:rsid w:val="00F37AE8"/>
    <w:rsid w:val="00F40723"/>
    <w:rsid w:val="00F60A3E"/>
    <w:rsid w:val="00F64673"/>
    <w:rsid w:val="00F6702B"/>
    <w:rsid w:val="00F85126"/>
    <w:rsid w:val="00F91AAD"/>
    <w:rsid w:val="00F94BB9"/>
    <w:rsid w:val="00F95ABC"/>
    <w:rsid w:val="00F97941"/>
    <w:rsid w:val="00FA2C90"/>
    <w:rsid w:val="00FA6363"/>
    <w:rsid w:val="00FB1B20"/>
    <w:rsid w:val="00FE0CE6"/>
    <w:rsid w:val="00FF1A92"/>
    <w:rsid w:val="00FF2306"/>
    <w:rsid w:val="296555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6" w:lineRule="auto"/>
      <w:outlineLvl w:val="0"/>
    </w:pPr>
    <w:rPr>
      <w:b/>
      <w:kern w:val="44"/>
      <w:sz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4"/>
    <w:qFormat/>
    <w:uiPriority w:val="0"/>
    <w:rPr>
      <w:rFonts w:ascii="Times New Roman" w:hAnsi="Times New Roman" w:eastAsia="宋体" w:cs="Times New Roman"/>
      <w:b/>
      <w:bCs/>
      <w:sz w:val="21"/>
    </w:rPr>
  </w:style>
  <w:style w:type="paragraph" w:styleId="5">
    <w:name w:val="annotation text"/>
    <w:basedOn w:val="1"/>
    <w:link w:val="30"/>
    <w:unhideWhenUsed/>
    <w:uiPriority w:val="99"/>
    <w:pPr>
      <w:jc w:val="left"/>
    </w:pPr>
    <w:rPr>
      <w:rFonts w:asciiTheme="minorHAnsi" w:hAnsiTheme="minorHAnsi" w:eastAsiaTheme="minorEastAsia" w:cstheme="minorBidi"/>
      <w:sz w:val="24"/>
    </w:rPr>
  </w:style>
  <w:style w:type="paragraph" w:styleId="6">
    <w:name w:val="Document Map"/>
    <w:basedOn w:val="1"/>
    <w:link w:val="29"/>
    <w:qFormat/>
    <w:uiPriority w:val="0"/>
    <w:rPr>
      <w:rFonts w:ascii="宋体"/>
      <w:sz w:val="18"/>
      <w:szCs w:val="18"/>
    </w:rPr>
  </w:style>
  <w:style w:type="paragraph" w:styleId="7">
    <w:name w:val="Date"/>
    <w:basedOn w:val="1"/>
    <w:next w:val="1"/>
    <w:uiPriority w:val="0"/>
    <w:pPr>
      <w:ind w:left="100" w:leftChars="2500"/>
    </w:pPr>
  </w:style>
  <w:style w:type="paragraph" w:styleId="8">
    <w:name w:val="Balloon Text"/>
    <w:basedOn w:val="1"/>
    <w:link w:val="31"/>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rFonts w:eastAsia="Times New Roman"/>
      <w:kern w:val="0"/>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rFonts w:eastAsia="Times New Roman"/>
      <w:kern w:val="0"/>
      <w:sz w:val="18"/>
      <w:szCs w:val="18"/>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annotation reference"/>
    <w:basedOn w:val="12"/>
    <w:unhideWhenUsed/>
    <w:qFormat/>
    <w:uiPriority w:val="99"/>
    <w:rPr>
      <w:sz w:val="21"/>
      <w:szCs w:val="21"/>
    </w:rPr>
  </w:style>
  <w:style w:type="table" w:styleId="17">
    <w:name w:val="Table Grid"/>
    <w:basedOn w:val="1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脚 Char"/>
    <w:basedOn w:val="12"/>
    <w:link w:val="9"/>
    <w:uiPriority w:val="99"/>
    <w:rPr>
      <w:sz w:val="18"/>
      <w:szCs w:val="18"/>
      <w:lang w:bidi="ar-SA"/>
    </w:rPr>
  </w:style>
  <w:style w:type="character" w:customStyle="1" w:styleId="19">
    <w:name w:val="页眉 Char1"/>
    <w:basedOn w:val="12"/>
    <w:link w:val="10"/>
    <w:uiPriority w:val="0"/>
    <w:rPr>
      <w:sz w:val="18"/>
      <w:szCs w:val="18"/>
      <w:lang w:bidi="ar-SA"/>
    </w:rPr>
  </w:style>
  <w:style w:type="paragraph" w:customStyle="1" w:styleId="20">
    <w:name w:val="Char Char Char Char Char Char Char"/>
    <w:basedOn w:val="1"/>
    <w:semiHidden/>
    <w:uiPriority w:val="0"/>
  </w:style>
  <w:style w:type="paragraph" w:customStyle="1" w:styleId="21">
    <w:name w:val="（一）"/>
    <w:basedOn w:val="1"/>
    <w:link w:val="22"/>
    <w:uiPriority w:val="0"/>
    <w:pPr>
      <w:ind w:firstLine="640" w:firstLineChars="200"/>
    </w:pPr>
    <w:rPr>
      <w:rFonts w:ascii="Calibri" w:hAnsi="Calibri" w:eastAsia="仿宋_GB2312"/>
      <w:sz w:val="32"/>
      <w:szCs w:val="32"/>
    </w:rPr>
  </w:style>
  <w:style w:type="character" w:customStyle="1" w:styleId="22">
    <w:name w:val="（一） Char"/>
    <w:basedOn w:val="12"/>
    <w:link w:val="21"/>
    <w:qFormat/>
    <w:locked/>
    <w:uiPriority w:val="0"/>
    <w:rPr>
      <w:rFonts w:ascii="Calibri" w:hAnsi="Calibri" w:eastAsia="仿宋_GB2312"/>
      <w:kern w:val="2"/>
      <w:sz w:val="32"/>
      <w:szCs w:val="32"/>
      <w:lang w:val="en-US" w:eastAsia="zh-CN" w:bidi="ar-SA"/>
    </w:rPr>
  </w:style>
  <w:style w:type="character" w:customStyle="1" w:styleId="23">
    <w:name w:val="页眉 Char"/>
    <w:basedOn w:val="12"/>
    <w:uiPriority w:val="0"/>
    <w:rPr>
      <w:kern w:val="2"/>
      <w:sz w:val="18"/>
      <w:szCs w:val="18"/>
      <w:lang w:bidi="ar-SA"/>
    </w:rPr>
  </w:style>
  <w:style w:type="character" w:customStyle="1" w:styleId="24">
    <w:name w:val="Footer Char"/>
    <w:basedOn w:val="12"/>
    <w:semiHidden/>
    <w:qFormat/>
    <w:locked/>
    <w:uiPriority w:val="0"/>
    <w:rPr>
      <w:rFonts w:eastAsia="宋体"/>
      <w:kern w:val="2"/>
      <w:sz w:val="18"/>
      <w:szCs w:val="18"/>
      <w:lang w:val="en-US" w:eastAsia="zh-CN" w:bidi="ar-SA"/>
    </w:rPr>
  </w:style>
  <w:style w:type="character" w:customStyle="1" w:styleId="25">
    <w:name w:val="标题 1 Char"/>
    <w:basedOn w:val="12"/>
    <w:link w:val="2"/>
    <w:locked/>
    <w:uiPriority w:val="0"/>
    <w:rPr>
      <w:rFonts w:eastAsia="宋体"/>
      <w:b/>
      <w:kern w:val="44"/>
      <w:sz w:val="44"/>
      <w:szCs w:val="24"/>
      <w:lang w:val="en-US" w:eastAsia="zh-CN" w:bidi="ar-SA"/>
    </w:rPr>
  </w:style>
  <w:style w:type="character" w:customStyle="1" w:styleId="26">
    <w:name w:val="标题 2 Char"/>
    <w:basedOn w:val="12"/>
    <w:link w:val="3"/>
    <w:locked/>
    <w:uiPriority w:val="0"/>
    <w:rPr>
      <w:rFonts w:ascii="Arial" w:hAnsi="Arial" w:eastAsia="黑体"/>
      <w:b/>
      <w:bCs/>
      <w:kern w:val="2"/>
      <w:sz w:val="32"/>
      <w:szCs w:val="32"/>
      <w:lang w:val="en-US" w:eastAsia="zh-CN" w:bidi="ar-SA"/>
    </w:rPr>
  </w:style>
  <w:style w:type="paragraph" w:customStyle="1" w:styleId="27">
    <w:name w:val="样式2"/>
    <w:basedOn w:val="1"/>
    <w:link w:val="28"/>
    <w:qFormat/>
    <w:uiPriority w:val="0"/>
    <w:pPr>
      <w:ind w:firstLine="640" w:firstLineChars="200"/>
    </w:pPr>
    <w:rPr>
      <w:rFonts w:ascii="Calibri" w:hAnsi="Calibri" w:eastAsia="仿宋_GB2312"/>
      <w:sz w:val="32"/>
      <w:szCs w:val="32"/>
    </w:rPr>
  </w:style>
  <w:style w:type="character" w:customStyle="1" w:styleId="28">
    <w:name w:val="样式2 Char"/>
    <w:basedOn w:val="12"/>
    <w:link w:val="27"/>
    <w:qFormat/>
    <w:locked/>
    <w:uiPriority w:val="0"/>
    <w:rPr>
      <w:rFonts w:ascii="Calibri" w:hAnsi="Calibri" w:eastAsia="仿宋_GB2312"/>
      <w:kern w:val="2"/>
      <w:sz w:val="32"/>
      <w:szCs w:val="32"/>
      <w:lang w:val="en-US" w:eastAsia="zh-CN" w:bidi="ar-SA"/>
    </w:rPr>
  </w:style>
  <w:style w:type="character" w:customStyle="1" w:styleId="29">
    <w:name w:val="文档结构图 Char"/>
    <w:basedOn w:val="12"/>
    <w:link w:val="6"/>
    <w:qFormat/>
    <w:uiPriority w:val="0"/>
    <w:rPr>
      <w:rFonts w:ascii="宋体"/>
      <w:kern w:val="2"/>
      <w:sz w:val="18"/>
      <w:szCs w:val="18"/>
    </w:rPr>
  </w:style>
  <w:style w:type="character" w:customStyle="1" w:styleId="30">
    <w:name w:val="批注文字 Char"/>
    <w:basedOn w:val="12"/>
    <w:link w:val="5"/>
    <w:qFormat/>
    <w:uiPriority w:val="99"/>
    <w:rPr>
      <w:rFonts w:asciiTheme="minorHAnsi" w:hAnsiTheme="minorHAnsi" w:eastAsiaTheme="minorEastAsia" w:cstheme="minorBidi"/>
      <w:kern w:val="2"/>
      <w:sz w:val="24"/>
      <w:szCs w:val="24"/>
    </w:rPr>
  </w:style>
  <w:style w:type="character" w:customStyle="1" w:styleId="31">
    <w:name w:val="批注框文本 Char"/>
    <w:basedOn w:val="12"/>
    <w:link w:val="8"/>
    <w:qFormat/>
    <w:uiPriority w:val="0"/>
    <w:rPr>
      <w:kern w:val="2"/>
      <w:sz w:val="18"/>
      <w:szCs w:val="18"/>
    </w:rPr>
  </w:style>
  <w:style w:type="paragraph" w:customStyle="1" w:styleId="32">
    <w:name w:val="内容"/>
    <w:basedOn w:val="1"/>
    <w:link w:val="33"/>
    <w:qFormat/>
    <w:uiPriority w:val="0"/>
    <w:pPr>
      <w:spacing w:line="360" w:lineRule="auto"/>
      <w:ind w:firstLine="560" w:firstLineChars="200"/>
    </w:pPr>
    <w:rPr>
      <w:sz w:val="24"/>
      <w:szCs w:val="28"/>
    </w:rPr>
  </w:style>
  <w:style w:type="character" w:customStyle="1" w:styleId="33">
    <w:name w:val="内容 Char"/>
    <w:link w:val="32"/>
    <w:qFormat/>
    <w:locked/>
    <w:uiPriority w:val="0"/>
    <w:rPr>
      <w:kern w:val="2"/>
      <w:sz w:val="24"/>
      <w:szCs w:val="28"/>
    </w:rPr>
  </w:style>
  <w:style w:type="character" w:customStyle="1" w:styleId="34">
    <w:name w:val="批注主题 Char"/>
    <w:basedOn w:val="30"/>
    <w:link w:val="4"/>
    <w:uiPriority w:val="0"/>
    <w:rPr>
      <w:b/>
      <w:bCs/>
      <w:sz w:val="21"/>
    </w:rPr>
  </w:style>
  <w:style w:type="paragraph" w:customStyle="1" w:styleId="35">
    <w:name w:val="Revision"/>
    <w:hidden/>
    <w:unhideWhenUsed/>
    <w:uiPriority w:val="99"/>
    <w:rPr>
      <w:rFonts w:ascii="Times New Roman" w:hAnsi="Times New Roman" w:eastAsia="宋体" w:cs="Times New Roman"/>
      <w:kern w:val="2"/>
      <w:sz w:val="21"/>
      <w:szCs w:val="24"/>
      <w:lang w:val="en-US" w:eastAsia="zh-CN" w:bidi="ar-SA"/>
    </w:rPr>
  </w:style>
  <w:style w:type="paragraph" w:customStyle="1" w:styleId="3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8C488-ADA8-4FCC-9B63-E6083F31761A}">
  <ds:schemaRefs/>
</ds:datastoreItem>
</file>

<file path=docProps/app.xml><?xml version="1.0" encoding="utf-8"?>
<Properties xmlns="http://schemas.openxmlformats.org/officeDocument/2006/extended-properties" xmlns:vt="http://schemas.openxmlformats.org/officeDocument/2006/docPropsVTypes">
  <Template>Normal</Template>
  <Pages>8</Pages>
  <Words>531</Words>
  <Characters>3027</Characters>
  <Lines>25</Lines>
  <Paragraphs>7</Paragraphs>
  <TotalTime>0</TotalTime>
  <ScaleCrop>false</ScaleCrop>
  <LinksUpToDate>false</LinksUpToDate>
  <CharactersWithSpaces>3551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2020-01-06T08:15:00Z</dcterms:created>
  <dc:creator>OA</dc:creator>
  <cp:lastModifiedBy>editor</cp:lastModifiedBy>
  <cp:lastPrinted>2020-01-08T08:50:00Z</cp:lastPrinted>
  <dcterms:modified xsi:type="dcterms:W3CDTF">2020-01-21T09:05:22Z</dcterms:modified>
  <dc:title>朱明同志：</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