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D7" w:rsidRPr="0061399C" w:rsidRDefault="007C2A62" w:rsidP="0061399C">
      <w:pPr>
        <w:spacing w:line="700" w:lineRule="exac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</w:p>
    <w:p w:rsidR="004E390D" w:rsidRDefault="00865E35" w:rsidP="00D7781B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关于</w:t>
      </w:r>
      <w:r w:rsidR="000A2B9E">
        <w:rPr>
          <w:rFonts w:ascii="方正小标宋简体" w:eastAsia="方正小标宋简体" w:hAnsi="黑体" w:hint="eastAsia"/>
          <w:sz w:val="44"/>
          <w:szCs w:val="44"/>
        </w:rPr>
        <w:t>贯彻落实</w:t>
      </w:r>
      <w:r w:rsidR="00FE2680">
        <w:rPr>
          <w:rFonts w:ascii="方正小标宋简体" w:eastAsia="方正小标宋简体" w:hAnsi="黑体" w:hint="eastAsia"/>
          <w:sz w:val="44"/>
          <w:szCs w:val="44"/>
        </w:rPr>
        <w:t>“放管服”</w:t>
      </w:r>
      <w:r>
        <w:rPr>
          <w:rFonts w:ascii="方正小标宋简体" w:eastAsia="方正小标宋简体" w:hAnsi="黑体" w:hint="eastAsia"/>
          <w:sz w:val="44"/>
          <w:szCs w:val="44"/>
        </w:rPr>
        <w:t>改革</w:t>
      </w:r>
      <w:r w:rsidR="00D7781B">
        <w:rPr>
          <w:rFonts w:ascii="方正小标宋简体" w:eastAsia="方正小标宋简体" w:hAnsi="黑体" w:hint="eastAsia"/>
          <w:sz w:val="44"/>
          <w:szCs w:val="44"/>
        </w:rPr>
        <w:t>精神</w:t>
      </w:r>
    </w:p>
    <w:p w:rsidR="004E390D" w:rsidRDefault="00865E35" w:rsidP="00D7781B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优化电力业务许可管理有关事项的通知</w:t>
      </w:r>
    </w:p>
    <w:p w:rsidR="004E390D" w:rsidRDefault="00865E35">
      <w:pPr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（征求意见稿）</w:t>
      </w:r>
    </w:p>
    <w:p w:rsidR="004E390D" w:rsidRDefault="004E390D">
      <w:pPr>
        <w:rPr>
          <w:rFonts w:ascii="黑体" w:eastAsia="黑体" w:hAnsi="黑体"/>
          <w:sz w:val="32"/>
          <w:szCs w:val="32"/>
        </w:rPr>
      </w:pP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为贯彻落实“放管服”改革精神，充分发挥</w:t>
      </w:r>
      <w:r w:rsidR="00B873B6">
        <w:rPr>
          <w:rFonts w:ascii="仿宋_GB2312" w:eastAsia="仿宋_GB2312" w:hint="eastAsia"/>
          <w:sz w:val="32"/>
          <w:szCs w:val="32"/>
        </w:rPr>
        <w:t>电力业务</w:t>
      </w:r>
      <w:r>
        <w:rPr>
          <w:rFonts w:ascii="仿宋_GB2312" w:eastAsia="仿宋_GB2312" w:hint="eastAsia"/>
          <w:sz w:val="32"/>
          <w:szCs w:val="32"/>
        </w:rPr>
        <w:t>许可</w:t>
      </w:r>
      <w:r w:rsidR="00592242">
        <w:rPr>
          <w:rFonts w:ascii="仿宋_GB2312" w:eastAsia="仿宋_GB2312" w:hint="eastAsia"/>
          <w:sz w:val="32"/>
          <w:szCs w:val="32"/>
        </w:rPr>
        <w:t>制度</w:t>
      </w:r>
      <w:r>
        <w:rPr>
          <w:rFonts w:ascii="仿宋_GB2312" w:eastAsia="仿宋_GB2312" w:hint="eastAsia"/>
          <w:sz w:val="32"/>
          <w:szCs w:val="32"/>
        </w:rPr>
        <w:t>在落实国家产业政策、规范企业经营行为、</w:t>
      </w:r>
      <w:r>
        <w:rPr>
          <w:rFonts w:ascii="仿宋_GB2312" w:eastAsia="仿宋_GB2312" w:hAnsi="仿宋_GB2312" w:cs="仿宋_GB2312" w:hint="eastAsia"/>
          <w:sz w:val="32"/>
          <w:szCs w:val="32"/>
        </w:rPr>
        <w:t>维护电力市场秩序、优化营商环境</w:t>
      </w:r>
      <w:r>
        <w:rPr>
          <w:rFonts w:ascii="仿宋_GB2312" w:eastAsia="仿宋_GB2312" w:hint="eastAsia"/>
          <w:sz w:val="32"/>
          <w:szCs w:val="32"/>
        </w:rPr>
        <w:t>等方面</w:t>
      </w:r>
      <w:r w:rsidR="007D6FE9">
        <w:rPr>
          <w:rFonts w:ascii="仿宋_GB2312" w:eastAsia="仿宋_GB2312" w:hint="eastAsia"/>
          <w:sz w:val="32"/>
          <w:szCs w:val="32"/>
        </w:rPr>
        <w:t>的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作用，现就优化电力业务许可管理有关事项通知如下。</w:t>
      </w:r>
    </w:p>
    <w:p w:rsidR="004E390D" w:rsidRDefault="00865E3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一、深入推进简政放权，简化发电类电力业务许可管理</w:t>
      </w:r>
    </w:p>
    <w:p w:rsidR="004E390D" w:rsidRDefault="00865E3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</w:t>
      </w:r>
      <w:r w:rsidR="00A74600" w:rsidRPr="00A74600">
        <w:rPr>
          <w:rFonts w:ascii="楷体" w:eastAsia="楷体" w:hAnsi="楷体" w:hint="eastAsia"/>
          <w:sz w:val="32"/>
          <w:szCs w:val="32"/>
        </w:rPr>
        <w:t>继续实施电力业务许可豁免政策</w:t>
      </w:r>
    </w:p>
    <w:p w:rsidR="004E390D" w:rsidRDefault="00865E35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以下发电项目</w:t>
      </w:r>
      <w:r w:rsidR="00F80A81">
        <w:rPr>
          <w:rFonts w:ascii="仿宋_GB2312" w:eastAsia="仿宋_GB2312" w:hAnsi="楷体" w:hint="eastAsia"/>
          <w:sz w:val="32"/>
          <w:szCs w:val="32"/>
        </w:rPr>
        <w:t>不纳入电力业务许可管理</w:t>
      </w:r>
      <w:r>
        <w:rPr>
          <w:rFonts w:ascii="仿宋_GB2312" w:eastAsia="仿宋_GB2312" w:hAnsi="楷体" w:hint="eastAsia"/>
          <w:sz w:val="32"/>
          <w:szCs w:val="32"/>
        </w:rPr>
        <w:t>：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1.经能源主管部门以备案（核准）等方式明确的分布式发电项目；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2.单站装机容量6MW（不含）以下的小水电站；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3.项目装机容量6MW（不含）以下的太阳能、风能、生物质能、海洋能、地热能等新能源发电项目；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4.项目装机容量6MW（不含）以下的余热余压余气资源综合利用发电项目；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5.电量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上网交易的自备电站和地（市）级及以下调度机构</w:t>
      </w:r>
      <w:r>
        <w:rPr>
          <w:rFonts w:ascii="仿宋_GB2312" w:eastAsia="仿宋_GB2312" w:hint="eastAsia"/>
          <w:sz w:val="32"/>
          <w:szCs w:val="32"/>
        </w:rPr>
        <w:lastRenderedPageBreak/>
        <w:t>调度的非化石燃料直接燃烧自备电站。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相关企业或个人（以下简称“项目运营主体”）经营上述发电业务不要求取得发电类电力业务许可证。项目运营主体在与电网企业办理并网运营手续时，不再要求提供发电类电力业务许可证。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上述项目已取得电力业务许可证的，由各派出能源监管机构（以下简称“派出机构”）进行公示注销，公示期不少于3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日。公示期满且无异议的，办理注销手续。</w:t>
      </w:r>
    </w:p>
    <w:p w:rsidR="004E390D" w:rsidRDefault="00865E3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派出机构要通过电网企业、调度机构等多种渠道积极联系有关企业，做好政策宣传工作。</w:t>
      </w:r>
    </w:p>
    <w:p w:rsidR="004E390D" w:rsidRDefault="00865E3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（二）简化部分发电企业许可申请要求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除按本通知可以豁免许可的情况外，经营以下发电业务的企业，简化发电类电力业务许可申请要求。</w:t>
      </w:r>
    </w:p>
    <w:p w:rsidR="004E390D" w:rsidRDefault="00865E3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.太阳能、风能、生物质能（含垃圾发电）、海洋能、地热能等新能源发电；</w:t>
      </w:r>
    </w:p>
    <w:p w:rsidR="004E390D" w:rsidRDefault="00865E3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.余热余压余气资源综合利用发电。</w:t>
      </w:r>
    </w:p>
    <w:p w:rsidR="004E390D" w:rsidRDefault="00865E3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具体简化内容如下。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主要负责人方面。企业安全负责人、生产运行负责人、技术负责人、财务负责人，允许一人兼任其中两项或三项职务。</w:t>
      </w:r>
    </w:p>
    <w:p w:rsidR="004E390D" w:rsidRDefault="00865E3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财务资料方面。不再要求提供年度财务报告、财务状况审计</w:t>
      </w:r>
      <w:r>
        <w:rPr>
          <w:rFonts w:ascii="仿宋_GB2312" w:eastAsia="仿宋_GB2312" w:hint="eastAsia"/>
          <w:sz w:val="32"/>
          <w:szCs w:val="32"/>
        </w:rPr>
        <w:lastRenderedPageBreak/>
        <w:t>报告，提供财务情况说明即可。</w:t>
      </w:r>
    </w:p>
    <w:p w:rsidR="004E390D" w:rsidRDefault="00865E3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二、贯彻落实供给侧结构性改革</w:t>
      </w:r>
      <w:r w:rsidR="0039085F">
        <w:rPr>
          <w:rFonts w:ascii="黑体" w:eastAsia="黑体" w:hAnsi="黑体" w:hint="eastAsia"/>
          <w:sz w:val="32"/>
          <w:szCs w:val="32"/>
        </w:rPr>
        <w:t>要求</w:t>
      </w:r>
      <w:r>
        <w:rPr>
          <w:rFonts w:ascii="黑体" w:eastAsia="黑体" w:hAnsi="黑体" w:hint="eastAsia"/>
          <w:sz w:val="32"/>
          <w:szCs w:val="32"/>
        </w:rPr>
        <w:t>，严把许可准入关</w:t>
      </w:r>
    </w:p>
    <w:p w:rsidR="004E390D" w:rsidRPr="00F81310" w:rsidRDefault="00865E35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F81310">
        <w:rPr>
          <w:rFonts w:ascii="楷体" w:eastAsia="楷体" w:hAnsi="楷体" w:hint="eastAsia"/>
          <w:sz w:val="32"/>
          <w:szCs w:val="32"/>
        </w:rPr>
        <w:t>（</w:t>
      </w:r>
      <w:r w:rsidR="00A01804">
        <w:rPr>
          <w:rFonts w:ascii="楷体" w:eastAsia="楷体" w:hAnsi="楷体" w:hint="eastAsia"/>
          <w:sz w:val="32"/>
          <w:szCs w:val="32"/>
        </w:rPr>
        <w:t>一</w:t>
      </w:r>
      <w:r w:rsidRPr="00F81310">
        <w:rPr>
          <w:rFonts w:ascii="楷体" w:eastAsia="楷体" w:hAnsi="楷体" w:hint="eastAsia"/>
          <w:sz w:val="32"/>
          <w:szCs w:val="32"/>
        </w:rPr>
        <w:t>）明确发电</w:t>
      </w:r>
      <w:r w:rsidR="00965E57">
        <w:rPr>
          <w:rFonts w:ascii="楷体" w:eastAsia="楷体" w:hAnsi="楷体" w:hint="eastAsia"/>
          <w:sz w:val="32"/>
          <w:szCs w:val="32"/>
        </w:rPr>
        <w:t>机组</w:t>
      </w:r>
      <w:r w:rsidRPr="00F81310">
        <w:rPr>
          <w:rFonts w:ascii="楷体" w:eastAsia="楷体" w:hAnsi="楷体" w:hint="eastAsia"/>
          <w:sz w:val="32"/>
          <w:szCs w:val="32"/>
        </w:rPr>
        <w:t>并网</w:t>
      </w:r>
      <w:r w:rsidR="00965E57">
        <w:rPr>
          <w:rFonts w:ascii="楷体" w:eastAsia="楷体" w:hAnsi="楷体" w:hint="eastAsia"/>
          <w:sz w:val="32"/>
          <w:szCs w:val="32"/>
        </w:rPr>
        <w:t>许可</w:t>
      </w:r>
      <w:r w:rsidRPr="00F81310">
        <w:rPr>
          <w:rFonts w:ascii="楷体" w:eastAsia="楷体" w:hAnsi="楷体" w:hint="eastAsia"/>
          <w:sz w:val="32"/>
          <w:szCs w:val="32"/>
        </w:rPr>
        <w:t>要求</w:t>
      </w:r>
    </w:p>
    <w:p w:rsidR="004E390D" w:rsidRDefault="00865E35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发电机组</w:t>
      </w:r>
      <w:r w:rsidR="00965E57">
        <w:rPr>
          <w:rFonts w:ascii="仿宋_GB2312" w:eastAsia="仿宋_GB2312" w:hAnsi="黑体" w:hint="eastAsia"/>
          <w:sz w:val="32"/>
          <w:szCs w:val="32"/>
        </w:rPr>
        <w:t>（豁免项目除外）</w:t>
      </w:r>
      <w:r>
        <w:rPr>
          <w:rFonts w:ascii="仿宋_GB2312" w:eastAsia="仿宋_GB2312" w:hAnsi="黑体"/>
          <w:sz w:val="32"/>
          <w:szCs w:val="32"/>
        </w:rPr>
        <w:t>应当</w:t>
      </w:r>
      <w:r>
        <w:rPr>
          <w:rFonts w:ascii="仿宋_GB2312" w:eastAsia="仿宋_GB2312"/>
          <w:sz w:val="32"/>
          <w:szCs w:val="32"/>
        </w:rPr>
        <w:t>在完成启动试运工作后3个月内，取得电力业务许可</w:t>
      </w:r>
      <w:r w:rsidR="00A6185C">
        <w:rPr>
          <w:rFonts w:ascii="仿宋_GB2312" w:eastAsia="仿宋_GB2312" w:hint="eastAsia"/>
          <w:sz w:val="32"/>
          <w:szCs w:val="32"/>
        </w:rPr>
        <w:t>证</w:t>
      </w:r>
      <w:r w:rsidR="00965E57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在此规定时限之前，发电企业与电网企业签订</w:t>
      </w:r>
      <w:r>
        <w:rPr>
          <w:rFonts w:ascii="仿宋_GB2312" w:eastAsia="仿宋_GB2312" w:hAnsi="黑体"/>
          <w:sz w:val="32"/>
          <w:szCs w:val="32"/>
        </w:rPr>
        <w:t>《并网调度协议》《购售电合同》可暂不提供电力业务许可证</w:t>
      </w:r>
      <w:r>
        <w:rPr>
          <w:rFonts w:ascii="仿宋_GB2312" w:eastAsia="仿宋_GB2312" w:hAnsi="黑体" w:hint="eastAsia"/>
          <w:sz w:val="32"/>
          <w:szCs w:val="32"/>
        </w:rPr>
        <w:t>，超过规定时限仍未取得电力业务许可证的，有关机组不得</w:t>
      </w:r>
      <w:r>
        <w:rPr>
          <w:rFonts w:ascii="仿宋_GB2312" w:eastAsia="仿宋_GB2312" w:hAnsi="黑体"/>
          <w:sz w:val="32"/>
          <w:szCs w:val="32"/>
        </w:rPr>
        <w:t>继续</w:t>
      </w:r>
      <w:r>
        <w:rPr>
          <w:rFonts w:ascii="仿宋_GB2312" w:eastAsia="仿宋_GB2312" w:hAnsi="黑体" w:hint="eastAsia"/>
          <w:sz w:val="32"/>
          <w:szCs w:val="32"/>
        </w:rPr>
        <w:t>发电上网。</w:t>
      </w:r>
    </w:p>
    <w:p w:rsidR="004E390D" w:rsidRDefault="00865E3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="00A01804">
        <w:rPr>
          <w:rFonts w:ascii="楷体" w:eastAsia="楷体" w:hAnsi="楷体" w:hint="eastAsia"/>
          <w:sz w:val="32"/>
          <w:szCs w:val="32"/>
        </w:rPr>
        <w:t>二</w:t>
      </w:r>
      <w:r>
        <w:rPr>
          <w:rFonts w:ascii="楷体" w:eastAsia="楷体" w:hAnsi="楷体" w:hint="eastAsia"/>
          <w:sz w:val="32"/>
          <w:szCs w:val="32"/>
        </w:rPr>
        <w:t>）加强风电、光伏发电项目许可准入监管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风电和光伏发电项目（豁免项目除外）发电机组（单元）并网后，应于3个月内完成有关机组的启动试运行工作，并在完成启动试运工作后3个月内，取得电力业务许可</w:t>
      </w:r>
      <w:r w:rsidR="00A6185C">
        <w:rPr>
          <w:rFonts w:ascii="仿宋_GB2312" w:eastAsia="仿宋_GB2312" w:hint="eastAsia"/>
          <w:sz w:val="32"/>
          <w:szCs w:val="32"/>
        </w:rPr>
        <w:t>证</w:t>
      </w:r>
      <w:r>
        <w:rPr>
          <w:rFonts w:ascii="仿宋_GB2312" w:eastAsia="仿宋_GB2312" w:hint="eastAsia"/>
          <w:sz w:val="32"/>
          <w:szCs w:val="32"/>
        </w:rPr>
        <w:t>。分批投产的风电或光伏发电项目，应分批开展启动验收，分批申请许可。未按上述要求取得电力业务许可</w:t>
      </w:r>
      <w:r w:rsidR="00A6185C">
        <w:rPr>
          <w:rFonts w:ascii="仿宋_GB2312" w:eastAsia="仿宋_GB2312" w:hint="eastAsia"/>
          <w:sz w:val="32"/>
          <w:szCs w:val="32"/>
        </w:rPr>
        <w:t>证</w:t>
      </w:r>
      <w:r>
        <w:rPr>
          <w:rFonts w:ascii="仿宋_GB2312" w:eastAsia="仿宋_GB2312" w:hint="eastAsia"/>
          <w:sz w:val="32"/>
          <w:szCs w:val="32"/>
        </w:rPr>
        <w:t>并网发电的，对发电企业及相关电网企业、调度机构要依法严肃处理，有关情况记入企业信用信息记录。</w:t>
      </w:r>
    </w:p>
    <w:p w:rsidR="004E390D" w:rsidRDefault="00865E3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="00A01804">
        <w:rPr>
          <w:rFonts w:ascii="楷体" w:eastAsia="楷体" w:hAnsi="楷体" w:hint="eastAsia"/>
          <w:sz w:val="32"/>
          <w:szCs w:val="32"/>
        </w:rPr>
        <w:t>三</w:t>
      </w:r>
      <w:r>
        <w:rPr>
          <w:rFonts w:ascii="楷体" w:eastAsia="楷体" w:hAnsi="楷体" w:hint="eastAsia"/>
          <w:sz w:val="32"/>
          <w:szCs w:val="32"/>
        </w:rPr>
        <w:t>）</w:t>
      </w:r>
      <w:proofErr w:type="gramStart"/>
      <w:r>
        <w:rPr>
          <w:rFonts w:ascii="楷体" w:eastAsia="楷体" w:hAnsi="楷体" w:hint="eastAsia"/>
          <w:sz w:val="32"/>
          <w:szCs w:val="32"/>
        </w:rPr>
        <w:t>做好</w:t>
      </w:r>
      <w:r w:rsidR="00D27A9E">
        <w:rPr>
          <w:rFonts w:ascii="楷体" w:eastAsia="楷体" w:hAnsi="楷体" w:hint="eastAsia"/>
          <w:sz w:val="32"/>
          <w:szCs w:val="32"/>
        </w:rPr>
        <w:t>投产</w:t>
      </w:r>
      <w:proofErr w:type="gramEnd"/>
      <w:r>
        <w:rPr>
          <w:rFonts w:ascii="楷体" w:eastAsia="楷体" w:hAnsi="楷体" w:hint="eastAsia"/>
          <w:sz w:val="32"/>
          <w:szCs w:val="32"/>
        </w:rPr>
        <w:t>煤电项目的许可管理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对于未</w:t>
      </w:r>
      <w:proofErr w:type="gramStart"/>
      <w:r>
        <w:rPr>
          <w:rFonts w:ascii="仿宋_GB2312" w:eastAsia="仿宋_GB2312" w:hint="eastAsia"/>
          <w:sz w:val="32"/>
          <w:szCs w:val="32"/>
        </w:rPr>
        <w:t>列入投产</w:t>
      </w:r>
      <w:proofErr w:type="gramEnd"/>
      <w:r>
        <w:rPr>
          <w:rFonts w:ascii="仿宋_GB2312" w:eastAsia="仿宋_GB2312" w:hint="eastAsia"/>
          <w:sz w:val="32"/>
          <w:szCs w:val="32"/>
        </w:rPr>
        <w:t>名单的煤电项目</w:t>
      </w:r>
      <w:r w:rsidR="002F16BC">
        <w:rPr>
          <w:rFonts w:ascii="仿宋_GB2312" w:eastAsia="仿宋_GB2312" w:hint="eastAsia"/>
          <w:sz w:val="32"/>
          <w:szCs w:val="32"/>
        </w:rPr>
        <w:t>（不含</w:t>
      </w:r>
      <w:proofErr w:type="gramStart"/>
      <w:r w:rsidR="002F16BC">
        <w:rPr>
          <w:rFonts w:ascii="仿宋_GB2312" w:eastAsia="仿宋_GB2312" w:hint="eastAsia"/>
          <w:sz w:val="32"/>
          <w:szCs w:val="32"/>
        </w:rPr>
        <w:t>燃煤背压机组</w:t>
      </w:r>
      <w:proofErr w:type="gramEnd"/>
      <w:r w:rsidR="002F16BC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，不得颁发电力业务许可证。煤电应急调峰储备电源不纳入电力业务许可管理。</w:t>
      </w:r>
    </w:p>
    <w:p w:rsidR="004E390D" w:rsidRDefault="00865E3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（</w:t>
      </w:r>
      <w:r w:rsidR="00A01804">
        <w:rPr>
          <w:rFonts w:ascii="楷体" w:eastAsia="楷体" w:hAnsi="楷体" w:hint="eastAsia"/>
          <w:sz w:val="32"/>
          <w:szCs w:val="32"/>
        </w:rPr>
        <w:t>四</w:t>
      </w:r>
      <w:r>
        <w:rPr>
          <w:rFonts w:ascii="楷体" w:eastAsia="楷体" w:hAnsi="楷体" w:hint="eastAsia"/>
          <w:sz w:val="32"/>
          <w:szCs w:val="32"/>
        </w:rPr>
        <w:t>）做好煤电机组市场退出，促进淘汰落后产能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按照《国家</w:t>
      </w:r>
      <w:r w:rsidR="0062578A">
        <w:rPr>
          <w:rFonts w:ascii="仿宋_GB2312" w:eastAsia="仿宋_GB2312" w:hint="eastAsia"/>
          <w:sz w:val="32"/>
          <w:szCs w:val="32"/>
        </w:rPr>
        <w:t>发展改革</w:t>
      </w:r>
      <w:r>
        <w:rPr>
          <w:rFonts w:ascii="仿宋_GB2312" w:eastAsia="仿宋_GB2312" w:hint="eastAsia"/>
          <w:sz w:val="32"/>
          <w:szCs w:val="32"/>
        </w:rPr>
        <w:t>委 国家能源局关于深入推进供给侧结构性改革 进一步淘汰煤电落后产能 促进煤电行业优化升级的意见》（</w:t>
      </w:r>
      <w:proofErr w:type="gramStart"/>
      <w:r>
        <w:rPr>
          <w:rFonts w:ascii="仿宋_GB2312" w:eastAsia="仿宋_GB2312" w:hint="eastAsia"/>
          <w:sz w:val="32"/>
          <w:szCs w:val="32"/>
        </w:rPr>
        <w:t>发改能源</w:t>
      </w:r>
      <w:proofErr w:type="gramEnd"/>
      <w:r>
        <w:rPr>
          <w:rFonts w:ascii="仿宋_GB2312" w:eastAsia="仿宋_GB2312" w:hAnsi="等线 Light" w:hint="eastAsia"/>
          <w:sz w:val="32"/>
          <w:szCs w:val="32"/>
        </w:rPr>
        <w:t>〔2019〕4</w:t>
      </w:r>
      <w:r>
        <w:rPr>
          <w:rFonts w:ascii="仿宋_GB2312" w:eastAsia="仿宋_GB2312" w:hAnsi="等线 Light"/>
          <w:sz w:val="32"/>
          <w:szCs w:val="32"/>
        </w:rPr>
        <w:t>31</w:t>
      </w:r>
      <w:r>
        <w:rPr>
          <w:rFonts w:ascii="仿宋_GB2312" w:eastAsia="仿宋_GB2312" w:hAnsi="等线 Light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）文件精神，对于</w:t>
      </w:r>
      <w:r w:rsidR="00363F1C">
        <w:rPr>
          <w:rFonts w:ascii="仿宋_GB2312" w:eastAsia="仿宋_GB2312" w:hint="eastAsia"/>
          <w:sz w:val="32"/>
          <w:szCs w:val="32"/>
        </w:rPr>
        <w:t>列入淘汰关停计划</w:t>
      </w:r>
      <w:r>
        <w:rPr>
          <w:rFonts w:ascii="仿宋_GB2312" w:eastAsia="仿宋_GB2312" w:hint="eastAsia"/>
          <w:sz w:val="32"/>
          <w:szCs w:val="32"/>
        </w:rPr>
        <w:t>的煤电机组（应急备用电源除外），派出机构应按照各省（区、市）人民政府制定的落后煤电机组关停方案和年度关停计划明确的时限，督促企业办理许可证注销手续。经地方能源主管部门确认已实际关停的项目，按规定注销电力业务许可证。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煤电应急备用电源关停后应及时注销或变更电力业务许可证，关停机组发电权转让不需要保留电力业务许可。</w:t>
      </w:r>
    </w:p>
    <w:p w:rsidR="004E390D" w:rsidRDefault="00865E35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规范许可管理，加强事中事后监管</w:t>
      </w:r>
      <w:r>
        <w:rPr>
          <w:rFonts w:ascii="黑体" w:eastAsia="黑体" w:hAnsi="黑体"/>
          <w:sz w:val="32"/>
          <w:szCs w:val="32"/>
        </w:rPr>
        <w:t xml:space="preserve"> </w:t>
      </w:r>
    </w:p>
    <w:p w:rsidR="004C42E9" w:rsidRPr="004C42E9" w:rsidRDefault="004C42E9" w:rsidP="004C42E9">
      <w:pPr>
        <w:ind w:left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="00A01804">
        <w:rPr>
          <w:rFonts w:ascii="楷体" w:eastAsia="楷体" w:hAnsi="楷体" w:hint="eastAsia"/>
          <w:sz w:val="32"/>
          <w:szCs w:val="32"/>
        </w:rPr>
        <w:t>一</w:t>
      </w:r>
      <w:r>
        <w:rPr>
          <w:rFonts w:ascii="楷体" w:eastAsia="楷体" w:hAnsi="楷体" w:hint="eastAsia"/>
          <w:sz w:val="32"/>
          <w:szCs w:val="32"/>
        </w:rPr>
        <w:t>）</w:t>
      </w:r>
      <w:r w:rsidRPr="004C42E9">
        <w:rPr>
          <w:rFonts w:ascii="楷体" w:eastAsia="楷体" w:hAnsi="楷体" w:hint="eastAsia"/>
          <w:sz w:val="32"/>
          <w:szCs w:val="32"/>
        </w:rPr>
        <w:t>调整供电类电力业务许可证申请条件</w:t>
      </w:r>
    </w:p>
    <w:p w:rsidR="004C42E9" w:rsidRPr="003E6AD4" w:rsidRDefault="004C42E9" w:rsidP="003E6AD4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3E6AD4">
        <w:rPr>
          <w:rFonts w:ascii="仿宋_GB2312" w:eastAsia="仿宋_GB2312" w:hAnsi="楷体" w:hint="eastAsia"/>
          <w:sz w:val="32"/>
          <w:szCs w:val="32"/>
        </w:rPr>
        <w:t>根据国务院《关于取消和下放</w:t>
      </w:r>
      <w:r w:rsidRPr="003E6AD4">
        <w:rPr>
          <w:rFonts w:ascii="仿宋_GB2312" w:eastAsia="仿宋_GB2312" w:hAnsi="楷体"/>
          <w:sz w:val="32"/>
          <w:szCs w:val="32"/>
        </w:rPr>
        <w:t>50项行政审批等事项的决定》（国发〔2013〕27号），将电力业务许可证</w:t>
      </w:r>
      <w:r w:rsidR="00F4797F">
        <w:rPr>
          <w:rFonts w:ascii="仿宋_GB2312" w:eastAsia="仿宋_GB2312" w:hAnsi="楷体" w:hint="eastAsia"/>
          <w:sz w:val="32"/>
          <w:szCs w:val="32"/>
        </w:rPr>
        <w:t>（</w:t>
      </w:r>
      <w:r w:rsidR="00F4797F" w:rsidRPr="00782BF0">
        <w:rPr>
          <w:rFonts w:ascii="仿宋_GB2312" w:eastAsia="仿宋_GB2312" w:hAnsi="楷体" w:hint="eastAsia"/>
          <w:sz w:val="32"/>
          <w:szCs w:val="32"/>
        </w:rPr>
        <w:t>供电类</w:t>
      </w:r>
      <w:r w:rsidR="00F4797F">
        <w:rPr>
          <w:rFonts w:ascii="仿宋_GB2312" w:eastAsia="仿宋_GB2312" w:hAnsi="楷体" w:hint="eastAsia"/>
          <w:sz w:val="32"/>
          <w:szCs w:val="32"/>
        </w:rPr>
        <w:t>）</w:t>
      </w:r>
      <w:r w:rsidRPr="003E6AD4">
        <w:rPr>
          <w:rFonts w:ascii="仿宋_GB2312" w:eastAsia="仿宋_GB2312" w:hAnsi="楷体"/>
          <w:sz w:val="32"/>
          <w:szCs w:val="32"/>
        </w:rPr>
        <w:t>申请条件中</w:t>
      </w:r>
      <w:r w:rsidRPr="003E6AD4">
        <w:rPr>
          <w:rFonts w:ascii="仿宋_GB2312" w:eastAsia="仿宋_GB2312" w:hAnsi="楷体"/>
          <w:sz w:val="32"/>
          <w:szCs w:val="32"/>
        </w:rPr>
        <w:t>“</w:t>
      </w:r>
      <w:r w:rsidRPr="003E6AD4">
        <w:rPr>
          <w:rFonts w:ascii="仿宋_GB2312" w:eastAsia="仿宋_GB2312" w:hAnsi="楷体"/>
          <w:sz w:val="32"/>
          <w:szCs w:val="32"/>
        </w:rPr>
        <w:t>具有经有关主管部门批准的供电营业区</w:t>
      </w:r>
      <w:r w:rsidRPr="003E6AD4">
        <w:rPr>
          <w:rFonts w:ascii="仿宋_GB2312" w:eastAsia="仿宋_GB2312" w:hAnsi="楷体"/>
          <w:sz w:val="32"/>
          <w:szCs w:val="32"/>
        </w:rPr>
        <w:t>”</w:t>
      </w:r>
      <w:r w:rsidRPr="003E6AD4">
        <w:rPr>
          <w:rFonts w:ascii="仿宋_GB2312" w:eastAsia="仿宋_GB2312" w:hAnsi="楷体"/>
          <w:sz w:val="32"/>
          <w:szCs w:val="32"/>
        </w:rPr>
        <w:t>调整为</w:t>
      </w:r>
      <w:r w:rsidRPr="003E6AD4">
        <w:rPr>
          <w:rFonts w:ascii="仿宋_GB2312" w:eastAsia="仿宋_GB2312" w:hAnsi="楷体"/>
          <w:sz w:val="32"/>
          <w:szCs w:val="32"/>
        </w:rPr>
        <w:t>“</w:t>
      </w:r>
      <w:r w:rsidRPr="003E6AD4">
        <w:rPr>
          <w:rFonts w:ascii="仿宋_GB2312" w:eastAsia="仿宋_GB2312" w:hAnsi="楷体"/>
          <w:sz w:val="32"/>
          <w:szCs w:val="32"/>
        </w:rPr>
        <w:t>具有供电</w:t>
      </w:r>
      <w:r w:rsidR="004B509A">
        <w:rPr>
          <w:rFonts w:ascii="仿宋_GB2312" w:eastAsia="仿宋_GB2312" w:hAnsi="楷体" w:hint="eastAsia"/>
          <w:sz w:val="32"/>
          <w:szCs w:val="32"/>
        </w:rPr>
        <w:t>区域</w:t>
      </w:r>
      <w:r w:rsidRPr="003E6AD4">
        <w:rPr>
          <w:rFonts w:ascii="仿宋_GB2312" w:eastAsia="仿宋_GB2312" w:hAnsi="楷体"/>
          <w:sz w:val="32"/>
          <w:szCs w:val="32"/>
        </w:rPr>
        <w:t>的划分</w:t>
      </w:r>
      <w:r w:rsidR="004475C0" w:rsidRPr="00D214D9">
        <w:rPr>
          <w:rFonts w:ascii="仿宋_GB2312" w:eastAsia="仿宋_GB2312" w:hAnsi="楷体"/>
          <w:sz w:val="32"/>
          <w:szCs w:val="32"/>
        </w:rPr>
        <w:t>意见</w:t>
      </w:r>
      <w:r w:rsidR="004475C0" w:rsidRPr="008A5BF6">
        <w:rPr>
          <w:rFonts w:ascii="仿宋_GB2312" w:eastAsia="仿宋_GB2312" w:hAnsi="楷体"/>
          <w:sz w:val="32"/>
          <w:szCs w:val="32"/>
        </w:rPr>
        <w:t>或</w:t>
      </w:r>
      <w:r w:rsidRPr="003E6AD4">
        <w:rPr>
          <w:rFonts w:ascii="仿宋_GB2312" w:eastAsia="仿宋_GB2312" w:hAnsi="楷体"/>
          <w:sz w:val="32"/>
          <w:szCs w:val="32"/>
        </w:rPr>
        <w:t>协议书</w:t>
      </w:r>
      <w:r w:rsidRPr="003E6AD4">
        <w:rPr>
          <w:rFonts w:ascii="仿宋_GB2312" w:eastAsia="仿宋_GB2312" w:hAnsi="楷体"/>
          <w:sz w:val="32"/>
          <w:szCs w:val="32"/>
        </w:rPr>
        <w:t>”</w:t>
      </w:r>
      <w:r w:rsidRPr="003E6AD4">
        <w:rPr>
          <w:rFonts w:ascii="仿宋_GB2312" w:eastAsia="仿宋_GB2312" w:hAnsi="楷体"/>
          <w:sz w:val="32"/>
          <w:szCs w:val="32"/>
        </w:rPr>
        <w:t>。</w:t>
      </w:r>
    </w:p>
    <w:p w:rsidR="004E390D" w:rsidRDefault="00865E35">
      <w:pPr>
        <w:ind w:left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="00A01804">
        <w:rPr>
          <w:rFonts w:ascii="楷体" w:eastAsia="楷体" w:hAnsi="楷体" w:hint="eastAsia"/>
          <w:sz w:val="32"/>
          <w:szCs w:val="32"/>
        </w:rPr>
        <w:t>二</w:t>
      </w:r>
      <w:r>
        <w:rPr>
          <w:rFonts w:ascii="楷体" w:eastAsia="楷体" w:hAnsi="楷体" w:hint="eastAsia"/>
          <w:sz w:val="32"/>
          <w:szCs w:val="32"/>
        </w:rPr>
        <w:t>）规范增量配电业务许可管理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在供电企业持有的电力业务许可证（供电类）副本</w:t>
      </w:r>
      <w:r>
        <w:rPr>
          <w:rFonts w:ascii="仿宋_GB2312" w:eastAsia="仿宋_GB2312" w:hint="eastAsia"/>
          <w:sz w:val="32"/>
          <w:szCs w:val="32"/>
        </w:rPr>
        <w:t>“供电营业区覆盖范围”中统</w:t>
      </w:r>
      <w:proofErr w:type="gramStart"/>
      <w:r w:rsidR="00D76080"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/>
          <w:sz w:val="32"/>
          <w:szCs w:val="32"/>
        </w:rPr>
        <w:t>标</w:t>
      </w:r>
      <w:r>
        <w:rPr>
          <w:rFonts w:ascii="仿宋_GB2312" w:eastAsia="仿宋_GB2312" w:hint="eastAsia"/>
          <w:sz w:val="32"/>
          <w:szCs w:val="32"/>
        </w:rPr>
        <w:t>注</w:t>
      </w:r>
      <w:r w:rsidR="005750F7">
        <w:rPr>
          <w:rFonts w:ascii="仿宋_GB2312" w:eastAsia="仿宋_GB2312" w:hint="eastAsia"/>
          <w:sz w:val="32"/>
          <w:szCs w:val="32"/>
        </w:rPr>
        <w:t>“</w:t>
      </w:r>
      <w:r w:rsidR="005750F7">
        <w:rPr>
          <w:rFonts w:ascii="仿宋_GB2312" w:eastAsia="仿宋_GB2312"/>
          <w:sz w:val="32"/>
          <w:szCs w:val="32"/>
        </w:rPr>
        <w:t>不含</w:t>
      </w:r>
      <w:r w:rsidR="005750F7">
        <w:rPr>
          <w:rFonts w:ascii="仿宋_GB2312" w:eastAsia="仿宋_GB2312" w:hint="eastAsia"/>
          <w:sz w:val="32"/>
          <w:szCs w:val="32"/>
        </w:rPr>
        <w:t>已许可的</w:t>
      </w:r>
      <w:r w:rsidR="005750F7">
        <w:rPr>
          <w:rFonts w:ascii="仿宋_GB2312" w:eastAsia="仿宋_GB2312"/>
          <w:sz w:val="32"/>
          <w:szCs w:val="32"/>
        </w:rPr>
        <w:t>增量配电区域</w:t>
      </w:r>
      <w:r w:rsidR="005750F7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。各派出机构应当在本</w:t>
      </w:r>
      <w:r>
        <w:rPr>
          <w:rFonts w:ascii="仿宋_GB2312" w:eastAsia="仿宋_GB2312" w:hint="eastAsia"/>
          <w:sz w:val="32"/>
          <w:szCs w:val="32"/>
        </w:rPr>
        <w:t>通知</w:t>
      </w:r>
      <w:r>
        <w:rPr>
          <w:rFonts w:ascii="仿宋_GB2312" w:eastAsia="仿宋_GB2312"/>
          <w:sz w:val="32"/>
          <w:szCs w:val="32"/>
        </w:rPr>
        <w:t>印发后及时组织供电企业集中办理许可</w:t>
      </w:r>
      <w:r>
        <w:rPr>
          <w:rFonts w:ascii="仿宋_GB2312" w:eastAsia="仿宋_GB2312"/>
          <w:sz w:val="32"/>
          <w:szCs w:val="32"/>
        </w:rPr>
        <w:lastRenderedPageBreak/>
        <w:t>证信息标注工作。</w:t>
      </w:r>
    </w:p>
    <w:p w:rsidR="004E390D" w:rsidRDefault="0007244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持有电力业务</w:t>
      </w:r>
      <w:r w:rsidR="00865E35">
        <w:rPr>
          <w:rFonts w:ascii="仿宋_GB2312" w:eastAsia="仿宋_GB2312" w:hint="eastAsia"/>
          <w:sz w:val="32"/>
          <w:szCs w:val="32"/>
        </w:rPr>
        <w:t>许可</w:t>
      </w:r>
      <w:r>
        <w:rPr>
          <w:rFonts w:ascii="仿宋_GB2312" w:eastAsia="仿宋_GB2312" w:hint="eastAsia"/>
          <w:sz w:val="32"/>
          <w:szCs w:val="32"/>
        </w:rPr>
        <w:t>证</w:t>
      </w:r>
      <w:r w:rsidR="00865E35">
        <w:rPr>
          <w:rFonts w:ascii="仿宋_GB2312" w:eastAsia="仿宋_GB2312" w:hint="eastAsia"/>
          <w:sz w:val="32"/>
          <w:szCs w:val="32"/>
        </w:rPr>
        <w:t>的增量配电业主依法享有许可范围内经营供（配）</w:t>
      </w:r>
      <w:proofErr w:type="gramStart"/>
      <w:r w:rsidR="00865E35">
        <w:rPr>
          <w:rFonts w:ascii="仿宋_GB2312" w:eastAsia="仿宋_GB2312" w:hint="eastAsia"/>
          <w:sz w:val="32"/>
          <w:szCs w:val="32"/>
        </w:rPr>
        <w:t>电业务</w:t>
      </w:r>
      <w:proofErr w:type="gramEnd"/>
      <w:r w:rsidR="00865E35">
        <w:rPr>
          <w:rFonts w:ascii="仿宋_GB2312" w:eastAsia="仿宋_GB2312" w:hint="eastAsia"/>
          <w:sz w:val="32"/>
          <w:szCs w:val="32"/>
        </w:rPr>
        <w:t>权利，原供电企业应当按照《增量配电业务配电区域划分实施办法（试行）》（</w:t>
      </w:r>
      <w:proofErr w:type="gramStart"/>
      <w:r w:rsidR="00865E35">
        <w:rPr>
          <w:rFonts w:ascii="仿宋_GB2312" w:eastAsia="仿宋_GB2312" w:hint="eastAsia"/>
          <w:sz w:val="32"/>
          <w:szCs w:val="32"/>
        </w:rPr>
        <w:t>发改能源规</w:t>
      </w:r>
      <w:proofErr w:type="gramEnd"/>
      <w:r w:rsidR="00865E35">
        <w:rPr>
          <w:rFonts w:ascii="仿宋_GB2312" w:eastAsia="仿宋_GB2312" w:hint="eastAsia"/>
          <w:sz w:val="32"/>
          <w:szCs w:val="32"/>
        </w:rPr>
        <w:t>〔</w:t>
      </w:r>
      <w:r w:rsidR="00865E35">
        <w:rPr>
          <w:rFonts w:ascii="仿宋_GB2312" w:eastAsia="仿宋_GB2312"/>
          <w:sz w:val="32"/>
          <w:szCs w:val="32"/>
        </w:rPr>
        <w:t>2018〕424号</w:t>
      </w:r>
      <w:r w:rsidR="00865E35">
        <w:rPr>
          <w:rFonts w:ascii="仿宋_GB2312" w:eastAsia="仿宋_GB2312" w:hint="eastAsia"/>
          <w:sz w:val="32"/>
          <w:szCs w:val="32"/>
        </w:rPr>
        <w:t>）要求，妥善处置存量资产和用户，不得在该区域内发展新用户。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派出机构向增量配电业主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的许可决定应同时抄送原供电企业。</w:t>
      </w:r>
    </w:p>
    <w:p w:rsidR="004E390D" w:rsidRDefault="00865E3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="00A01804">
        <w:rPr>
          <w:rFonts w:ascii="楷体" w:eastAsia="楷体" w:hAnsi="楷体" w:hint="eastAsia"/>
          <w:sz w:val="32"/>
          <w:szCs w:val="32"/>
        </w:rPr>
        <w:t>三</w:t>
      </w:r>
      <w:r>
        <w:rPr>
          <w:rFonts w:ascii="楷体" w:eastAsia="楷体" w:hAnsi="楷体" w:hint="eastAsia"/>
          <w:sz w:val="32"/>
          <w:szCs w:val="32"/>
        </w:rPr>
        <w:t>）加强输、供（配）电企业事中事后监管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输、供（配）电企业应当严格履行持证企业义务，按照要求开展年度自查，发生变更事项及时向派出机构提出申请，输、供（配）电企业许可制度执行情况记入企业信用信息记录。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输电企业新建、改建输电线路或者变电设施投入运营的，每年</w:t>
      </w:r>
      <w:r w:rsidR="000B7618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季度集中办理上一年度此类许可事项变更手续。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供电企业新建、改建供电设施投入运营或终止运营供电设施，</w:t>
      </w:r>
      <w:r>
        <w:rPr>
          <w:rFonts w:ascii="仿宋_GB2312" w:eastAsia="仿宋_GB2312"/>
          <w:sz w:val="32"/>
          <w:szCs w:val="32"/>
        </w:rPr>
        <w:t>不列入许可事项变更，按照登记事项变更管理</w:t>
      </w:r>
      <w:r w:rsidR="000B7618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供电企业</w:t>
      </w:r>
      <w:r>
        <w:rPr>
          <w:rFonts w:ascii="仿宋_GB2312" w:eastAsia="仿宋_GB2312" w:hint="eastAsia"/>
          <w:sz w:val="32"/>
          <w:szCs w:val="32"/>
        </w:rPr>
        <w:t>应于每年</w:t>
      </w:r>
      <w:r w:rsidR="00AE13A4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季度集中向派出机构报送主要设施、设备</w:t>
      </w:r>
      <w:r>
        <w:rPr>
          <w:rFonts w:ascii="仿宋_GB2312" w:eastAsia="仿宋_GB2312"/>
          <w:sz w:val="32"/>
          <w:szCs w:val="32"/>
        </w:rPr>
        <w:t>变化</w:t>
      </w:r>
      <w:r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/>
          <w:sz w:val="32"/>
          <w:szCs w:val="32"/>
        </w:rPr>
        <w:t>并办理变更手续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E390D" w:rsidRDefault="00865E3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四、推进证照分离改革，优化许可审批服务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落实国务院“证照分离”</w:t>
      </w:r>
      <w:proofErr w:type="gramStart"/>
      <w:r>
        <w:rPr>
          <w:rFonts w:ascii="仿宋_GB2312" w:eastAsia="仿宋_GB2312" w:hint="eastAsia"/>
          <w:sz w:val="32"/>
          <w:szCs w:val="32"/>
        </w:rPr>
        <w:t>改革全</w:t>
      </w:r>
      <w:proofErr w:type="gramEnd"/>
      <w:r>
        <w:rPr>
          <w:rFonts w:ascii="仿宋_GB2312" w:eastAsia="仿宋_GB2312" w:hint="eastAsia"/>
          <w:sz w:val="32"/>
          <w:szCs w:val="32"/>
        </w:rPr>
        <w:t>覆盖试点要求，为全国各自由贸易试验区企业开辟许可证办理绿色通道，提高许可服务质量。</w:t>
      </w:r>
      <w:r>
        <w:rPr>
          <w:rFonts w:ascii="仿宋_GB2312" w:eastAsia="仿宋_GB2312" w:hint="eastAsia"/>
          <w:sz w:val="32"/>
          <w:szCs w:val="32"/>
        </w:rPr>
        <w:lastRenderedPageBreak/>
        <w:t>主要措施如下。</w:t>
      </w:r>
    </w:p>
    <w:p w:rsidR="004E390D" w:rsidRDefault="00865E3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="00A01804">
        <w:rPr>
          <w:rFonts w:ascii="楷体" w:eastAsia="楷体" w:hAnsi="楷体" w:hint="eastAsia"/>
          <w:sz w:val="32"/>
          <w:szCs w:val="32"/>
        </w:rPr>
        <w:t>一</w:t>
      </w:r>
      <w:r>
        <w:rPr>
          <w:rFonts w:ascii="楷体" w:eastAsia="楷体" w:hAnsi="楷体" w:hint="eastAsia"/>
          <w:sz w:val="32"/>
          <w:szCs w:val="32"/>
        </w:rPr>
        <w:t>）全程网上办理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可于所在地派出机构网站，全程网上办理电力业务许可证、承装（修、试）电力设施许可证的新申请、变更、延续等业务，实现许可办理“最多跑一次”或“一次不用跑”。各有关派出机构应在门户网站公布审批程序、受理条件及办理标准并公开办理进度，方便企业咨询、查询、办理相关业务。</w:t>
      </w:r>
    </w:p>
    <w:p w:rsidR="004E390D" w:rsidRDefault="00865E3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="00A01804">
        <w:rPr>
          <w:rFonts w:ascii="楷体" w:eastAsia="楷体" w:hAnsi="楷体" w:hint="eastAsia"/>
          <w:sz w:val="32"/>
          <w:szCs w:val="32"/>
        </w:rPr>
        <w:t>二</w:t>
      </w:r>
      <w:r>
        <w:rPr>
          <w:rFonts w:ascii="楷体" w:eastAsia="楷体" w:hAnsi="楷体" w:hint="eastAsia"/>
          <w:sz w:val="32"/>
          <w:szCs w:val="32"/>
        </w:rPr>
        <w:t>）压减申请材料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办理电力业务许可证不再要求申请人提供法人营业执照复印件，有关信息由派出机构通过部门信息共享获取；不再要求申请人提供财务状况审计报告。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办理承装（修、试）电力设施许可证不再要求申请人提供法人营业执照复印件，有关信息由派出机构通过部门信息共享获取。</w:t>
      </w:r>
    </w:p>
    <w:p w:rsidR="004E390D" w:rsidRDefault="00865E3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="00A01804">
        <w:rPr>
          <w:rFonts w:ascii="楷体" w:eastAsia="楷体" w:hAnsi="楷体" w:hint="eastAsia"/>
          <w:sz w:val="32"/>
          <w:szCs w:val="32"/>
        </w:rPr>
        <w:t>三</w:t>
      </w:r>
      <w:r>
        <w:rPr>
          <w:rFonts w:ascii="楷体" w:eastAsia="楷体" w:hAnsi="楷体" w:hint="eastAsia"/>
          <w:sz w:val="32"/>
          <w:szCs w:val="32"/>
        </w:rPr>
        <w:t>）缩短审批时限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电力业务许可</w:t>
      </w:r>
      <w:r w:rsidR="005679A0">
        <w:rPr>
          <w:rFonts w:ascii="仿宋_GB2312" w:eastAsia="仿宋_GB2312" w:hint="eastAsia"/>
          <w:sz w:val="32"/>
          <w:szCs w:val="32"/>
        </w:rPr>
        <w:t>证</w:t>
      </w:r>
      <w:r>
        <w:rPr>
          <w:rFonts w:ascii="仿宋_GB2312" w:eastAsia="仿宋_GB2312" w:hint="eastAsia"/>
          <w:sz w:val="32"/>
          <w:szCs w:val="32"/>
        </w:rPr>
        <w:t>、承装（修、试）电力设施许可</w:t>
      </w:r>
      <w:r w:rsidR="005679A0">
        <w:rPr>
          <w:rFonts w:ascii="仿宋_GB2312" w:eastAsia="仿宋_GB2312" w:hint="eastAsia"/>
          <w:sz w:val="32"/>
          <w:szCs w:val="32"/>
        </w:rPr>
        <w:t>证</w:t>
      </w:r>
      <w:r>
        <w:rPr>
          <w:rFonts w:ascii="仿宋_GB2312" w:eastAsia="仿宋_GB2312" w:hint="eastAsia"/>
          <w:sz w:val="32"/>
          <w:szCs w:val="32"/>
        </w:rPr>
        <w:t>审批时限，由“自受理申请之日起2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个工作日内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许可决定”，调整为“自受理申请之日起1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个工作日内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许可决定”。各派出机构要大力压减审批时间、优化许可流程、提高审批效率，确保在规定时限内完成审查、批准工作。</w:t>
      </w:r>
    </w:p>
    <w:p w:rsidR="004E390D" w:rsidRDefault="00F81310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="00A01804">
        <w:rPr>
          <w:rFonts w:ascii="楷体" w:eastAsia="楷体" w:hAnsi="楷体" w:hint="eastAsia"/>
          <w:sz w:val="32"/>
          <w:szCs w:val="32"/>
        </w:rPr>
        <w:t>四</w:t>
      </w:r>
      <w:r w:rsidR="00865E35">
        <w:rPr>
          <w:rFonts w:ascii="楷体" w:eastAsia="楷体" w:hAnsi="楷体" w:hint="eastAsia"/>
          <w:sz w:val="32"/>
          <w:szCs w:val="32"/>
        </w:rPr>
        <w:t>）强化信用监管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实施以信用为基础的新型监管手段，对持证企业</w:t>
      </w:r>
      <w:r w:rsidR="00971ABC">
        <w:rPr>
          <w:rFonts w:ascii="仿宋_GB2312" w:eastAsia="仿宋_GB2312" w:hint="eastAsia"/>
          <w:sz w:val="32"/>
          <w:szCs w:val="32"/>
        </w:rPr>
        <w:t>依据其信用状况分类</w:t>
      </w:r>
      <w:r>
        <w:rPr>
          <w:rFonts w:ascii="仿宋_GB2312" w:eastAsia="仿宋_GB2312" w:hint="eastAsia"/>
          <w:sz w:val="32"/>
          <w:szCs w:val="32"/>
        </w:rPr>
        <w:t>开展“双随机、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公开”监管，依法查处违法违规行为，有关情况纳入企业信用信息记录。加强信息归集共享和信息公示，对严重失信行为实施联合惩戒。</w:t>
      </w:r>
    </w:p>
    <w:p w:rsidR="004E390D" w:rsidRDefault="00865E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本通知自印发之日起施行。《国家能源局关于明确电力业务许可管理有关事项的通知》（国能资质〔</w:t>
      </w:r>
      <w:r>
        <w:rPr>
          <w:rFonts w:ascii="仿宋_GB2312" w:eastAsia="仿宋_GB2312"/>
          <w:sz w:val="32"/>
          <w:szCs w:val="32"/>
        </w:rPr>
        <w:t>2014〕151号）</w:t>
      </w:r>
      <w:r>
        <w:rPr>
          <w:rFonts w:ascii="仿宋_GB2312" w:eastAsia="仿宋_GB2312" w:hint="eastAsia"/>
          <w:sz w:val="32"/>
          <w:szCs w:val="32"/>
        </w:rPr>
        <w:t>过期失效，不再执行。本通知下发前有关电力业务许可管理文件与本通知不一致的，按照本通知执行。</w:t>
      </w:r>
    </w:p>
    <w:sectPr w:rsidR="004E390D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CC" w:rsidRDefault="00A024CC">
      <w:r>
        <w:separator/>
      </w:r>
    </w:p>
  </w:endnote>
  <w:endnote w:type="continuationSeparator" w:id="0">
    <w:p w:rsidR="00A024CC" w:rsidRDefault="00A0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0D" w:rsidRDefault="00865E35">
    <w:pPr>
      <w:pStyle w:val="a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7D6FE9" w:rsidRPr="007D6FE9">
      <w:rPr>
        <w:noProof/>
        <w:sz w:val="24"/>
        <w:szCs w:val="24"/>
        <w:lang w:val="zh-CN"/>
      </w:rPr>
      <w:t>-</w:t>
    </w:r>
    <w:r w:rsidR="007D6FE9">
      <w:rPr>
        <w:noProof/>
        <w:sz w:val="24"/>
        <w:szCs w:val="24"/>
      </w:rPr>
      <w:t xml:space="preserve"> 7 -</w:t>
    </w:r>
    <w:r>
      <w:rPr>
        <w:sz w:val="24"/>
        <w:szCs w:val="24"/>
      </w:rPr>
      <w:fldChar w:fldCharType="end"/>
    </w:r>
  </w:p>
  <w:p w:rsidR="004E390D" w:rsidRDefault="004E39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CC" w:rsidRDefault="00A024CC">
      <w:r>
        <w:separator/>
      </w:r>
    </w:p>
  </w:footnote>
  <w:footnote w:type="continuationSeparator" w:id="0">
    <w:p w:rsidR="00A024CC" w:rsidRDefault="00A0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FE8D2F"/>
    <w:lvl w:ilvl="0">
      <w:start w:val="9"/>
      <w:numFmt w:val="chineseCounting"/>
      <w:suff w:val="nothing"/>
      <w:lvlText w:val="(%1）"/>
      <w:lvlJc w:val="left"/>
      <w:rPr>
        <w:rFonts w:hint="eastAsia"/>
      </w:rPr>
    </w:lvl>
  </w:abstractNum>
  <w:abstractNum w:abstractNumId="1" w15:restartNumberingAfterBreak="0">
    <w:nsid w:val="00000002"/>
    <w:multiLevelType w:val="hybridMultilevel"/>
    <w:tmpl w:val="ACBC209A"/>
    <w:lvl w:ilvl="0" w:tplc="E948110E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0000003"/>
    <w:multiLevelType w:val="hybridMultilevel"/>
    <w:tmpl w:val="B80E8FA6"/>
    <w:lvl w:ilvl="0" w:tplc="99F0F1C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595738"/>
    <w:multiLevelType w:val="hybridMultilevel"/>
    <w:tmpl w:val="7DF0BFAE"/>
    <w:lvl w:ilvl="0" w:tplc="C3C876F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0D"/>
    <w:rsid w:val="00072441"/>
    <w:rsid w:val="000A2AD7"/>
    <w:rsid w:val="000A2B9E"/>
    <w:rsid w:val="000B19F6"/>
    <w:rsid w:val="000B7618"/>
    <w:rsid w:val="00130318"/>
    <w:rsid w:val="00296CFD"/>
    <w:rsid w:val="002F16BC"/>
    <w:rsid w:val="003041AE"/>
    <w:rsid w:val="0031213D"/>
    <w:rsid w:val="00363F1C"/>
    <w:rsid w:val="0039085F"/>
    <w:rsid w:val="003B7451"/>
    <w:rsid w:val="003E6AD4"/>
    <w:rsid w:val="004475C0"/>
    <w:rsid w:val="004B509A"/>
    <w:rsid w:val="004C42E9"/>
    <w:rsid w:val="004E390D"/>
    <w:rsid w:val="005512A6"/>
    <w:rsid w:val="005679A0"/>
    <w:rsid w:val="005750F7"/>
    <w:rsid w:val="00592242"/>
    <w:rsid w:val="00611C92"/>
    <w:rsid w:val="0061399C"/>
    <w:rsid w:val="00622C7E"/>
    <w:rsid w:val="0062578A"/>
    <w:rsid w:val="006F37B7"/>
    <w:rsid w:val="007C2A62"/>
    <w:rsid w:val="007D6FE9"/>
    <w:rsid w:val="007E781F"/>
    <w:rsid w:val="00865E35"/>
    <w:rsid w:val="008B1665"/>
    <w:rsid w:val="0093798C"/>
    <w:rsid w:val="00965E57"/>
    <w:rsid w:val="00966529"/>
    <w:rsid w:val="00971ABC"/>
    <w:rsid w:val="00A01804"/>
    <w:rsid w:val="00A024CC"/>
    <w:rsid w:val="00A53998"/>
    <w:rsid w:val="00A6185C"/>
    <w:rsid w:val="00A74600"/>
    <w:rsid w:val="00AA466B"/>
    <w:rsid w:val="00AE13A4"/>
    <w:rsid w:val="00AF3A5B"/>
    <w:rsid w:val="00B17E64"/>
    <w:rsid w:val="00B224DD"/>
    <w:rsid w:val="00B6328E"/>
    <w:rsid w:val="00B873B6"/>
    <w:rsid w:val="00BD15B7"/>
    <w:rsid w:val="00BE1FC1"/>
    <w:rsid w:val="00BE5CBE"/>
    <w:rsid w:val="00C3719A"/>
    <w:rsid w:val="00C87624"/>
    <w:rsid w:val="00D27A9E"/>
    <w:rsid w:val="00D63105"/>
    <w:rsid w:val="00D76080"/>
    <w:rsid w:val="00D7781B"/>
    <w:rsid w:val="00D94356"/>
    <w:rsid w:val="00E305BF"/>
    <w:rsid w:val="00E64A45"/>
    <w:rsid w:val="00F4797F"/>
    <w:rsid w:val="00F80A81"/>
    <w:rsid w:val="00F81310"/>
    <w:rsid w:val="00FE2680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FCF027-C3D2-4DD6-B21B-FB2177BC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customStyle="1" w:styleId="CharCharChar">
    <w:name w:val="Char Char Char"/>
    <w:basedOn w:val="a"/>
    <w:rPr>
      <w:rFonts w:ascii="Times New Roman" w:eastAsia="宋体" w:hAnsi="Times New Roman" w:cs="Times New Roman"/>
      <w:szCs w:val="20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422</Words>
  <Characters>2410</Characters>
  <Application>Microsoft Office Word</Application>
  <DocSecurity>0</DocSecurity>
  <Lines>20</Lines>
  <Paragraphs>5</Paragraphs>
  <ScaleCrop>false</ScaleCrop>
  <Company>www.dadighost.com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大地系统</dc:creator>
  <cp:lastModifiedBy>大地系统</cp:lastModifiedBy>
  <cp:revision>7</cp:revision>
  <cp:lastPrinted>2019-10-21T06:19:00Z</cp:lastPrinted>
  <dcterms:created xsi:type="dcterms:W3CDTF">2019-11-07T05:41:00Z</dcterms:created>
  <dcterms:modified xsi:type="dcterms:W3CDTF">2019-11-08T08:57:00Z</dcterms:modified>
</cp:coreProperties>
</file>