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88" w:lineRule="exact"/>
        <w:jc w:val="left"/>
        <w:rPr>
          <w:rFonts w:ascii="黑体" w:hAnsi="黑体" w:eastAsia="黑体" w:cs="Times New Roman"/>
          <w:sz w:val="32"/>
          <w:szCs w:val="32"/>
        </w:rPr>
      </w:pPr>
      <w:r>
        <w:rPr>
          <w:rFonts w:hint="eastAsia" w:ascii="黑体" w:hAnsi="黑体" w:eastAsia="黑体" w:cs="Times New Roman"/>
          <w:sz w:val="32"/>
          <w:szCs w:val="32"/>
        </w:rPr>
        <w:t>附件</w:t>
      </w:r>
    </w:p>
    <w:p>
      <w:pPr>
        <w:spacing w:line="588" w:lineRule="exact"/>
        <w:jc w:val="center"/>
        <w:rPr>
          <w:rFonts w:ascii="Times New Roman" w:hAnsi="Times New Roman" w:eastAsia="方正小标宋_GBK" w:cs="Times New Roman"/>
          <w:sz w:val="36"/>
          <w:szCs w:val="36"/>
        </w:rPr>
      </w:pPr>
    </w:p>
    <w:p>
      <w:pPr>
        <w:spacing w:line="588"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40"/>
          <w:szCs w:val="40"/>
        </w:rPr>
        <w:t>关于</w:t>
      </w:r>
      <w:r>
        <w:rPr>
          <w:rFonts w:ascii="Times New Roman" w:hAnsi="Times New Roman" w:eastAsia="方正小标宋_GBK" w:cs="Times New Roman"/>
          <w:sz w:val="40"/>
          <w:szCs w:val="40"/>
        </w:rPr>
        <w:t>2019</w:t>
      </w:r>
      <w:r>
        <w:rPr>
          <w:rFonts w:hint="eastAsia" w:ascii="Times New Roman" w:hAnsi="Times New Roman" w:eastAsia="方正小标宋_GBK" w:cs="Times New Roman"/>
          <w:sz w:val="40"/>
          <w:szCs w:val="40"/>
        </w:rPr>
        <w:t>年风电、光伏发电建设</w:t>
      </w:r>
      <w:r>
        <w:rPr>
          <w:rFonts w:hint="eastAsia" w:ascii="Times New Roman" w:hAnsi="Times New Roman" w:eastAsia="方正小标宋_GBK" w:cs="Times New Roman"/>
          <w:sz w:val="40"/>
          <w:szCs w:val="40"/>
        </w:rPr>
        <w:br/>
      </w:r>
      <w:r>
        <w:rPr>
          <w:rFonts w:hint="eastAsia" w:ascii="Times New Roman" w:hAnsi="Times New Roman" w:eastAsia="方正小标宋_GBK" w:cs="Times New Roman"/>
          <w:sz w:val="40"/>
          <w:szCs w:val="40"/>
        </w:rPr>
        <w:t>管理有关要求的通知（征求意见稿）</w:t>
      </w:r>
    </w:p>
    <w:p>
      <w:pPr>
        <w:spacing w:line="588" w:lineRule="exact"/>
        <w:jc w:val="center"/>
        <w:rPr>
          <w:rFonts w:ascii="Times New Roman" w:hAnsi="Times New Roman" w:eastAsia="方正小标宋_GBK" w:cs="Times New Roman"/>
          <w:sz w:val="36"/>
          <w:szCs w:val="36"/>
        </w:rPr>
      </w:pP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全面贯彻党的十九大和十九届二中、三中全会精神，以习近平新时代中国特色社会主义思想为指导，坚持新发展理念，发挥市场在资源配置中的决定性作用，促进风电、光伏发电产业高质量发展，现就做好2019年风电、光伏发电建设管理有关要求通知如下。</w:t>
      </w:r>
    </w:p>
    <w:p>
      <w:pPr>
        <w:spacing w:line="588"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一、优先</w:t>
      </w:r>
      <w:r>
        <w:rPr>
          <w:rFonts w:hint="eastAsia" w:ascii="Times New Roman" w:hAnsi="黑体" w:eastAsia="黑体" w:cs="Times New Roman"/>
          <w:sz w:val="32"/>
          <w:szCs w:val="32"/>
        </w:rPr>
        <w:t>建设</w:t>
      </w:r>
      <w:r>
        <w:rPr>
          <w:rFonts w:ascii="Times New Roman" w:hAnsi="黑体" w:eastAsia="黑体" w:cs="Times New Roman"/>
          <w:sz w:val="32"/>
          <w:szCs w:val="32"/>
        </w:rPr>
        <w:t>平价上网风电、光伏发电项目</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能源主管部门按照《国家发展改革委 国家能源局关于积极推进风电、光伏发电无补贴平价上网有关工作的通知》（发改能源〔2019〕19号）要求，研究论证本地区建设风电、光伏发电平价上网项目的条件，在组织电网企业论证并落实拟新建平价上网项目的电力送出和消纳条件基础上，优先推进平价</w:t>
      </w:r>
      <w:r>
        <w:rPr>
          <w:rFonts w:hint="eastAsia" w:ascii="Times New Roman" w:hAnsi="Times New Roman" w:eastAsia="仿宋_GB2312" w:cs="Times New Roman"/>
          <w:sz w:val="32"/>
          <w:szCs w:val="32"/>
        </w:rPr>
        <w:t>上网</w:t>
      </w:r>
      <w:r>
        <w:rPr>
          <w:rFonts w:ascii="Times New Roman" w:hAnsi="Times New Roman" w:eastAsia="仿宋_GB2312" w:cs="Times New Roman"/>
          <w:sz w:val="32"/>
          <w:szCs w:val="32"/>
        </w:rPr>
        <w:t>项目建设。</w:t>
      </w:r>
      <w:r>
        <w:rPr>
          <w:rFonts w:hint="eastAsia" w:ascii="Times New Roman" w:hAnsi="Times New Roman" w:eastAsia="仿宋_GB2312" w:cs="Times New Roman"/>
          <w:sz w:val="32"/>
          <w:szCs w:val="32"/>
        </w:rPr>
        <w:t>经充分论证不具备建设平价上网项目条件的省（区、市），综合考虑相关规划、电力送出和消纳条件确定合理的需国家补贴项目的总规模，分别按风电和光伏发电项目竞争配置要求通过规范竞争方式选择需纳入国家补贴范围的项目。</w:t>
      </w:r>
    </w:p>
    <w:p>
      <w:pPr>
        <w:spacing w:line="588"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w:t>
      </w:r>
      <w:r>
        <w:rPr>
          <w:rFonts w:hint="eastAsia" w:ascii="Times New Roman" w:hAnsi="黑体" w:eastAsia="黑体" w:cs="Times New Roman"/>
          <w:sz w:val="32"/>
          <w:szCs w:val="32"/>
        </w:rPr>
        <w:t>规范进行项目</w:t>
      </w:r>
      <w:r>
        <w:rPr>
          <w:rFonts w:ascii="Times New Roman" w:hAnsi="黑体" w:eastAsia="黑体" w:cs="Times New Roman"/>
          <w:sz w:val="32"/>
          <w:szCs w:val="32"/>
        </w:rPr>
        <w:t>竞争方式配置</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能源主管部门应在</w:t>
      </w:r>
      <w:r>
        <w:rPr>
          <w:rFonts w:hint="eastAsia" w:ascii="Times New Roman" w:hAnsi="Times New Roman" w:eastAsia="仿宋_GB2312" w:cs="Times New Roman"/>
          <w:sz w:val="32"/>
          <w:szCs w:val="32"/>
        </w:rPr>
        <w:t>优先</w:t>
      </w:r>
      <w:r>
        <w:rPr>
          <w:rFonts w:ascii="Times New Roman" w:hAnsi="Times New Roman" w:eastAsia="仿宋_GB2312" w:cs="Times New Roman"/>
          <w:sz w:val="32"/>
          <w:szCs w:val="32"/>
        </w:rPr>
        <w:t>建设平价上网项目基础上，</w:t>
      </w:r>
      <w:r>
        <w:rPr>
          <w:rFonts w:hint="eastAsia" w:ascii="Times New Roman" w:hAnsi="Times New Roman" w:eastAsia="仿宋_GB2312" w:cs="Times New Roman"/>
          <w:sz w:val="32"/>
          <w:szCs w:val="32"/>
        </w:rPr>
        <w:t>采取</w:t>
      </w:r>
      <w:r>
        <w:rPr>
          <w:rFonts w:ascii="Times New Roman" w:hAnsi="Times New Roman" w:eastAsia="仿宋_GB2312" w:cs="Times New Roman"/>
          <w:sz w:val="32"/>
          <w:szCs w:val="32"/>
        </w:rPr>
        <w:t>竞争方式配置</w:t>
      </w:r>
      <w:r>
        <w:rPr>
          <w:rFonts w:hint="eastAsia" w:ascii="Times New Roman" w:hAnsi="Times New Roman" w:eastAsia="仿宋_GB2312" w:cs="Times New Roman"/>
          <w:sz w:val="32"/>
          <w:szCs w:val="32"/>
        </w:rPr>
        <w:t>需国家补贴的</w:t>
      </w:r>
      <w:r>
        <w:rPr>
          <w:rFonts w:ascii="Times New Roman" w:hAnsi="Times New Roman" w:eastAsia="仿宋_GB2312" w:cs="Times New Roman"/>
          <w:sz w:val="32"/>
          <w:szCs w:val="32"/>
        </w:rPr>
        <w:t>风电、光伏发电项目。竞争配置办法</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严格落实公开公平公正的原则，将</w:t>
      </w:r>
      <w:r>
        <w:rPr>
          <w:rFonts w:hint="eastAsia" w:ascii="Times New Roman" w:hAnsi="Times New Roman" w:eastAsia="仿宋_GB2312" w:cs="Times New Roman"/>
          <w:sz w:val="32"/>
          <w:szCs w:val="32"/>
        </w:rPr>
        <w:t>上</w:t>
      </w:r>
      <w:r>
        <w:rPr>
          <w:rFonts w:ascii="Times New Roman" w:hAnsi="Times New Roman" w:eastAsia="仿宋_GB2312" w:cs="Times New Roman"/>
          <w:sz w:val="32"/>
          <w:szCs w:val="32"/>
        </w:rPr>
        <w:t>网电价作为重要竞争条件，优先建设补贴</w:t>
      </w:r>
      <w:r>
        <w:rPr>
          <w:rFonts w:hint="eastAsia" w:ascii="Times New Roman" w:hAnsi="Times New Roman" w:eastAsia="仿宋_GB2312" w:cs="Times New Roman"/>
          <w:sz w:val="32"/>
          <w:szCs w:val="32"/>
        </w:rPr>
        <w:t>强度低、退坡力度大</w:t>
      </w:r>
      <w:r>
        <w:rPr>
          <w:rFonts w:ascii="Times New Roman" w:hAnsi="Times New Roman" w:eastAsia="仿宋_GB2312" w:cs="Times New Roman"/>
          <w:sz w:val="32"/>
          <w:szCs w:val="32"/>
        </w:rPr>
        <w:t>的项目</w:t>
      </w:r>
      <w:r>
        <w:rPr>
          <w:rFonts w:hint="eastAsia" w:ascii="Times New Roman" w:hAnsi="Times New Roman" w:eastAsia="仿宋_GB2312" w:cs="Times New Roman"/>
          <w:sz w:val="32"/>
          <w:szCs w:val="32"/>
        </w:rPr>
        <w:t>。各派出机构</w:t>
      </w:r>
      <w:r>
        <w:rPr>
          <w:rFonts w:ascii="Times New Roman" w:hAnsi="Times New Roman" w:eastAsia="仿宋_GB2312" w:cs="Times New Roman"/>
          <w:sz w:val="32"/>
          <w:szCs w:val="32"/>
        </w:rPr>
        <w:t>加强对各省（区、市）风电、光伏发电项目竞争配置</w:t>
      </w:r>
      <w:r>
        <w:rPr>
          <w:rFonts w:hint="eastAsia" w:ascii="Times New Roman" w:hAnsi="Times New Roman" w:eastAsia="仿宋_GB2312" w:cs="Times New Roman"/>
          <w:sz w:val="32"/>
          <w:szCs w:val="32"/>
        </w:rPr>
        <w:t>的监督。风电竞争配置要求见附件1，光伏发电竞争配置要求见附件2。</w:t>
      </w:r>
    </w:p>
    <w:p>
      <w:pPr>
        <w:spacing w:line="588"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三、严格落实规划</w:t>
      </w:r>
      <w:r>
        <w:rPr>
          <w:rFonts w:hint="eastAsia" w:ascii="Times New Roman" w:hAnsi="黑体" w:eastAsia="黑体" w:cs="Times New Roman"/>
          <w:sz w:val="32"/>
          <w:szCs w:val="32"/>
        </w:rPr>
        <w:t>和</w:t>
      </w:r>
      <w:r>
        <w:rPr>
          <w:rFonts w:ascii="Times New Roman" w:hAnsi="黑体" w:eastAsia="黑体" w:cs="Times New Roman"/>
          <w:sz w:val="32"/>
          <w:szCs w:val="32"/>
        </w:rPr>
        <w:t>预警要求</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各省级及以下地方政府能源主管部门依据《国家能源局关于可再生能源发展“十三五”规划实施的指导意见》（国能发新能〔2017〕31号）（以下简称《指导意见》）</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开展风电和光伏发电项目配置、核准</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《指导意见》对部分弃风</w:t>
      </w:r>
      <w:r>
        <w:rPr>
          <w:rFonts w:hint="eastAsia" w:ascii="Times New Roman" w:hAnsi="Times New Roman" w:eastAsia="仿宋_GB2312" w:cs="Times New Roman"/>
          <w:sz w:val="32"/>
          <w:szCs w:val="32"/>
        </w:rPr>
        <w:t>弃光</w:t>
      </w:r>
      <w:r>
        <w:rPr>
          <w:rFonts w:ascii="Times New Roman" w:hAnsi="Times New Roman" w:eastAsia="仿宋_GB2312" w:cs="Times New Roman"/>
          <w:sz w:val="32"/>
          <w:szCs w:val="32"/>
        </w:rPr>
        <w:t>严重地区未下达年度新增建设规模的，有关省</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能源主管部门结合2019年</w:t>
      </w:r>
      <w:r>
        <w:rPr>
          <w:rFonts w:hint="eastAsia" w:ascii="Times New Roman" w:hAnsi="Times New Roman" w:eastAsia="仿宋_GB2312" w:cs="Times New Roman"/>
          <w:sz w:val="32"/>
          <w:szCs w:val="32"/>
        </w:rPr>
        <w:t>度</w:t>
      </w:r>
      <w:r>
        <w:rPr>
          <w:rFonts w:ascii="Times New Roman" w:hAnsi="Times New Roman" w:eastAsia="仿宋_GB2312" w:cs="Times New Roman"/>
          <w:sz w:val="32"/>
          <w:szCs w:val="32"/>
        </w:rPr>
        <w:t>风电</w:t>
      </w:r>
      <w:r>
        <w:rPr>
          <w:rFonts w:hint="eastAsia" w:ascii="Times New Roman" w:hAnsi="Times New Roman" w:eastAsia="仿宋_GB2312" w:cs="Times New Roman"/>
          <w:sz w:val="32"/>
          <w:szCs w:val="32"/>
        </w:rPr>
        <w:t>投资监测</w:t>
      </w:r>
      <w:r>
        <w:rPr>
          <w:rFonts w:ascii="Times New Roman" w:hAnsi="Times New Roman" w:eastAsia="仿宋_GB2312" w:cs="Times New Roman"/>
          <w:sz w:val="32"/>
          <w:szCs w:val="32"/>
        </w:rPr>
        <w:t>预警</w:t>
      </w:r>
      <w:r>
        <w:rPr>
          <w:rFonts w:hint="eastAsia" w:ascii="Times New Roman" w:hAnsi="Times New Roman" w:eastAsia="仿宋_GB2312" w:cs="Times New Roman"/>
          <w:sz w:val="32"/>
          <w:szCs w:val="32"/>
        </w:rPr>
        <w:t>和2018年度</w:t>
      </w:r>
      <w:r>
        <w:rPr>
          <w:rFonts w:ascii="Times New Roman" w:hAnsi="Times New Roman" w:eastAsia="仿宋_GB2312" w:cs="Times New Roman"/>
          <w:sz w:val="32"/>
          <w:szCs w:val="32"/>
        </w:rPr>
        <w:t>光伏发电市场环境监测评价</w:t>
      </w:r>
      <w:r>
        <w:rPr>
          <w:rFonts w:hint="eastAsia" w:ascii="Times New Roman" w:hAnsi="Times New Roman" w:eastAsia="仿宋_GB2312" w:cs="Times New Roman"/>
          <w:sz w:val="32"/>
          <w:szCs w:val="32"/>
        </w:rPr>
        <w:t>结果，</w:t>
      </w:r>
      <w:r>
        <w:rPr>
          <w:rFonts w:ascii="Times New Roman" w:hAnsi="Times New Roman" w:eastAsia="仿宋_GB2312" w:cs="Times New Roman"/>
          <w:sz w:val="32"/>
          <w:szCs w:val="32"/>
        </w:rPr>
        <w:t>向国家能源局提出</w:t>
      </w:r>
      <w:r>
        <w:rPr>
          <w:rFonts w:hint="eastAsia" w:ascii="Times New Roman" w:hAnsi="Times New Roman" w:eastAsia="仿宋_GB2312" w:cs="Times New Roman"/>
          <w:sz w:val="32"/>
          <w:szCs w:val="32"/>
        </w:rPr>
        <w:t>新增</w:t>
      </w:r>
      <w:r>
        <w:rPr>
          <w:rFonts w:ascii="Times New Roman" w:hAnsi="Times New Roman" w:eastAsia="仿宋_GB2312" w:cs="Times New Roman"/>
          <w:sz w:val="32"/>
          <w:szCs w:val="32"/>
        </w:rPr>
        <w:t>建设规模建议，国家能源局组织论证后反馈</w:t>
      </w:r>
      <w:r>
        <w:rPr>
          <w:rFonts w:hint="eastAsia" w:ascii="Times New Roman" w:hAnsi="Times New Roman" w:eastAsia="仿宋_GB2312" w:cs="Times New Roman"/>
          <w:sz w:val="32"/>
          <w:szCs w:val="32"/>
        </w:rPr>
        <w:t>意见</w:t>
      </w:r>
      <w:r>
        <w:rPr>
          <w:rFonts w:ascii="Times New Roman" w:hAnsi="Times New Roman" w:eastAsia="仿宋_GB2312" w:cs="Times New Roman"/>
          <w:sz w:val="32"/>
          <w:szCs w:val="32"/>
        </w:rPr>
        <w:t>，有关省</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能源主管部门据反馈意见组织</w:t>
      </w:r>
      <w:r>
        <w:rPr>
          <w:rFonts w:hint="eastAsia" w:ascii="Times New Roman" w:hAnsi="Times New Roman" w:eastAsia="仿宋_GB2312" w:cs="Times New Roman"/>
          <w:sz w:val="32"/>
          <w:szCs w:val="32"/>
        </w:rPr>
        <w:t>本地区</w:t>
      </w:r>
      <w:r>
        <w:rPr>
          <w:rFonts w:ascii="Times New Roman" w:hAnsi="Times New Roman" w:eastAsia="仿宋_GB2312" w:cs="Times New Roman"/>
          <w:sz w:val="32"/>
          <w:szCs w:val="32"/>
        </w:rPr>
        <w:t>风电</w:t>
      </w:r>
      <w:r>
        <w:rPr>
          <w:rFonts w:hint="eastAsia" w:ascii="Times New Roman" w:hAnsi="Times New Roman" w:eastAsia="仿宋_GB2312" w:cs="Times New Roman"/>
          <w:sz w:val="32"/>
          <w:szCs w:val="32"/>
        </w:rPr>
        <w:t>、光伏发电</w:t>
      </w:r>
      <w:r>
        <w:rPr>
          <w:rFonts w:ascii="Times New Roman" w:hAnsi="Times New Roman" w:eastAsia="仿宋_GB2312" w:cs="Times New Roman"/>
          <w:sz w:val="32"/>
          <w:szCs w:val="32"/>
        </w:rPr>
        <w:t>项目建设。风电和光伏发电项目</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配置、核准</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建设</w:t>
      </w:r>
      <w:r>
        <w:rPr>
          <w:rFonts w:hint="eastAsia" w:ascii="Times New Roman" w:hAnsi="Times New Roman" w:eastAsia="仿宋_GB2312" w:cs="Times New Roman"/>
          <w:sz w:val="32"/>
          <w:szCs w:val="32"/>
        </w:rPr>
        <w:t>均应</w:t>
      </w:r>
      <w:r>
        <w:rPr>
          <w:rFonts w:ascii="Times New Roman" w:hAnsi="Times New Roman" w:eastAsia="仿宋_GB2312" w:cs="Times New Roman"/>
          <w:sz w:val="32"/>
          <w:szCs w:val="32"/>
        </w:rPr>
        <w:t>符合风电投资监测预警</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光伏发电市场环境监测评价有关要求</w:t>
      </w:r>
      <w:r>
        <w:rPr>
          <w:rFonts w:hint="eastAsia" w:ascii="Times New Roman" w:hAnsi="Times New Roman" w:eastAsia="仿宋_GB2312" w:cs="Times New Roman"/>
          <w:sz w:val="32"/>
          <w:szCs w:val="32"/>
        </w:rPr>
        <w:t>。</w:t>
      </w:r>
    </w:p>
    <w:p>
      <w:pPr>
        <w:spacing w:line="588" w:lineRule="exact"/>
        <w:ind w:firstLine="640" w:firstLineChars="200"/>
        <w:rPr>
          <w:rFonts w:ascii="Times New Roman" w:hAnsi="黑体" w:eastAsia="黑体" w:cs="Times New Roman"/>
          <w:sz w:val="32"/>
          <w:szCs w:val="32"/>
        </w:rPr>
      </w:pPr>
      <w:r>
        <w:rPr>
          <w:rFonts w:ascii="Times New Roman" w:hAnsi="黑体" w:eastAsia="黑体" w:cs="Times New Roman"/>
          <w:sz w:val="32"/>
          <w:szCs w:val="32"/>
        </w:rPr>
        <w:t>四、</w:t>
      </w:r>
      <w:r>
        <w:rPr>
          <w:rFonts w:hint="eastAsia" w:ascii="Times New Roman" w:hAnsi="黑体" w:eastAsia="黑体" w:cs="Times New Roman"/>
          <w:sz w:val="32"/>
          <w:szCs w:val="32"/>
        </w:rPr>
        <w:t>梳理应废止的存量项目</w:t>
      </w:r>
    </w:p>
    <w:p>
      <w:pPr>
        <w:spacing w:line="588" w:lineRule="exact"/>
        <w:ind w:firstLine="640" w:firstLineChars="200"/>
        <w:rPr>
          <w:rFonts w:ascii="Times New Roman" w:hAnsi="黑体" w:eastAsia="黑体" w:cs="Times New Roman"/>
          <w:sz w:val="32"/>
          <w:szCs w:val="32"/>
        </w:rPr>
      </w:pPr>
      <w:r>
        <w:rPr>
          <w:rFonts w:eastAsia="仿宋_GB2312"/>
          <w:sz w:val="32"/>
          <w:szCs w:val="32"/>
        </w:rPr>
        <w:t>各省（区、市）梳理出的核准两年</w:t>
      </w:r>
      <w:r>
        <w:rPr>
          <w:rFonts w:hint="eastAsia" w:eastAsia="仿宋_GB2312"/>
          <w:sz w:val="32"/>
          <w:szCs w:val="32"/>
        </w:rPr>
        <w:t>内</w:t>
      </w:r>
      <w:r>
        <w:rPr>
          <w:rFonts w:eastAsia="仿宋_GB2312"/>
          <w:sz w:val="32"/>
          <w:szCs w:val="32"/>
        </w:rPr>
        <w:t>未开工建设也未申请延期或已经申请延期但延长期内仍未开工建设的风电项目，无论</w:t>
      </w:r>
      <w:r>
        <w:rPr>
          <w:rFonts w:hint="eastAsia" w:eastAsia="仿宋_GB2312"/>
          <w:sz w:val="32"/>
          <w:szCs w:val="32"/>
        </w:rPr>
        <w:t>项目单位</w:t>
      </w:r>
      <w:r>
        <w:rPr>
          <w:rFonts w:eastAsia="仿宋_GB2312"/>
          <w:sz w:val="32"/>
          <w:szCs w:val="32"/>
        </w:rPr>
        <w:t>是否承诺继续建设，相关</w:t>
      </w:r>
      <w:r>
        <w:rPr>
          <w:rFonts w:hint="eastAsia" w:eastAsia="仿宋_GB2312"/>
          <w:sz w:val="32"/>
          <w:szCs w:val="32"/>
        </w:rPr>
        <w:t>项目的</w:t>
      </w:r>
      <w:r>
        <w:rPr>
          <w:rFonts w:eastAsia="仿宋_GB2312"/>
          <w:sz w:val="32"/>
          <w:szCs w:val="32"/>
        </w:rPr>
        <w:t>核准文件应按照</w:t>
      </w:r>
      <w:r>
        <w:rPr>
          <w:rFonts w:hint="eastAsia" w:eastAsia="仿宋_GB2312"/>
          <w:sz w:val="32"/>
          <w:szCs w:val="32"/>
        </w:rPr>
        <w:t>投资</w:t>
      </w:r>
      <w:r>
        <w:rPr>
          <w:rFonts w:eastAsia="仿宋_GB2312"/>
          <w:sz w:val="32"/>
          <w:szCs w:val="32"/>
        </w:rPr>
        <w:t>项目核准管理的有关要求予以废止。如项目</w:t>
      </w:r>
      <w:r>
        <w:rPr>
          <w:rFonts w:hint="eastAsia" w:eastAsia="仿宋_GB2312"/>
          <w:sz w:val="32"/>
          <w:szCs w:val="32"/>
        </w:rPr>
        <w:t>单位</w:t>
      </w:r>
      <w:r>
        <w:rPr>
          <w:rFonts w:eastAsia="仿宋_GB2312"/>
          <w:sz w:val="32"/>
          <w:szCs w:val="32"/>
        </w:rPr>
        <w:t>希望继续建设，</w:t>
      </w:r>
      <w:r>
        <w:rPr>
          <w:rFonts w:hint="eastAsia" w:eastAsia="仿宋_GB2312"/>
          <w:sz w:val="32"/>
          <w:szCs w:val="32"/>
        </w:rPr>
        <w:t>鼓励按平价上网项目建设，或者</w:t>
      </w:r>
      <w:r>
        <w:rPr>
          <w:rFonts w:eastAsia="仿宋_GB2312"/>
          <w:sz w:val="32"/>
          <w:szCs w:val="32"/>
        </w:rPr>
        <w:t>参与本年度的竞争配置并根据竞争结果纳入本年度建设方案。</w:t>
      </w:r>
    </w:p>
    <w:p>
      <w:pPr>
        <w:spacing w:line="588"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rPr>
        <w:t>五、</w:t>
      </w:r>
      <w:r>
        <w:rPr>
          <w:rFonts w:ascii="Times New Roman" w:hAnsi="黑体" w:eastAsia="黑体" w:cs="Times New Roman"/>
          <w:sz w:val="32"/>
          <w:szCs w:val="32"/>
        </w:rPr>
        <w:t>严格落实电力送出和消纳条件</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能源主管部门应与当地省级电网企业</w:t>
      </w:r>
      <w:r>
        <w:rPr>
          <w:rFonts w:hint="eastAsia" w:ascii="Times New Roman" w:hAnsi="Times New Roman" w:eastAsia="仿宋_GB2312" w:cs="Times New Roman"/>
          <w:sz w:val="32"/>
          <w:szCs w:val="32"/>
        </w:rPr>
        <w:t>（包括省级政府管理的地方电网企业，以下同）</w:t>
      </w:r>
      <w:r>
        <w:rPr>
          <w:rFonts w:ascii="Times New Roman" w:hAnsi="Times New Roman" w:eastAsia="仿宋_GB2312" w:cs="Times New Roman"/>
          <w:sz w:val="32"/>
          <w:szCs w:val="32"/>
        </w:rPr>
        <w:t>充分沟通，</w:t>
      </w:r>
      <w:r>
        <w:rPr>
          <w:rFonts w:hint="eastAsia" w:ascii="Times New Roman" w:hAnsi="Times New Roman" w:eastAsia="仿宋_GB2312" w:cs="Times New Roman"/>
          <w:sz w:val="32"/>
          <w:szCs w:val="32"/>
        </w:rPr>
        <w:t>请电网企业</w:t>
      </w:r>
      <w:r>
        <w:rPr>
          <w:rFonts w:ascii="Times New Roman" w:hAnsi="Times New Roman" w:eastAsia="仿宋_GB2312" w:cs="Times New Roman"/>
          <w:sz w:val="32"/>
          <w:szCs w:val="32"/>
        </w:rPr>
        <w:t>对所在省级区域风电、光伏发电新增建设规模的消纳条件进行测算论证，</w:t>
      </w:r>
      <w:r>
        <w:rPr>
          <w:rFonts w:hint="eastAsia" w:ascii="Times New Roman" w:hAnsi="Times New Roman" w:eastAsia="仿宋_GB2312" w:cs="Times New Roman"/>
          <w:sz w:val="32"/>
          <w:szCs w:val="32"/>
        </w:rPr>
        <w:t>做好新建</w:t>
      </w:r>
      <w:r>
        <w:rPr>
          <w:rFonts w:ascii="Times New Roman" w:hAnsi="Times New Roman" w:eastAsia="仿宋_GB2312" w:cs="Times New Roman"/>
          <w:sz w:val="32"/>
          <w:szCs w:val="32"/>
        </w:rPr>
        <w:t>风电、光伏发电项目</w:t>
      </w:r>
      <w:r>
        <w:rPr>
          <w:rFonts w:hint="eastAsia" w:ascii="Times New Roman" w:hAnsi="Times New Roman" w:eastAsia="仿宋_GB2312" w:cs="Times New Roman"/>
          <w:sz w:val="32"/>
          <w:szCs w:val="32"/>
        </w:rPr>
        <w:t>电力送出工程的衔接并落实消纳方案，优先保障平价上网项目的电力送出和消纳</w:t>
      </w:r>
      <w:r>
        <w:rPr>
          <w:rFonts w:ascii="Times New Roman" w:hAnsi="Times New Roman" w:eastAsia="仿宋_GB2312" w:cs="Times New Roman"/>
          <w:sz w:val="32"/>
          <w:szCs w:val="32"/>
        </w:rPr>
        <w:t>。跨省跨区输电通道配置可再生能源发电项目可配置的规模由国家能源局组织有关方面专项论证后确定。</w:t>
      </w:r>
    </w:p>
    <w:p>
      <w:pPr>
        <w:spacing w:line="588"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rPr>
        <w:t>六</w:t>
      </w:r>
      <w:r>
        <w:rPr>
          <w:rFonts w:ascii="Times New Roman" w:hAnsi="黑体" w:eastAsia="黑体" w:cs="Times New Roman"/>
          <w:sz w:val="32"/>
          <w:szCs w:val="32"/>
        </w:rPr>
        <w:t>、优化建设投资营商环境</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能源主管部门</w:t>
      </w:r>
      <w:r>
        <w:rPr>
          <w:rFonts w:hint="eastAsia" w:ascii="Times New Roman" w:hAnsi="Times New Roman" w:eastAsia="仿宋_GB2312" w:cs="Times New Roman"/>
          <w:sz w:val="32"/>
          <w:szCs w:val="32"/>
        </w:rPr>
        <w:t>应核实拟建</w:t>
      </w:r>
      <w:r>
        <w:rPr>
          <w:rFonts w:ascii="Times New Roman" w:hAnsi="Times New Roman" w:eastAsia="仿宋_GB2312" w:cs="Times New Roman"/>
          <w:sz w:val="32"/>
          <w:szCs w:val="32"/>
        </w:rPr>
        <w:t>风电、光伏发电</w:t>
      </w:r>
      <w:r>
        <w:rPr>
          <w:rFonts w:hint="eastAsia" w:ascii="Times New Roman" w:hAnsi="Times New Roman" w:eastAsia="仿宋_GB2312" w:cs="Times New Roman"/>
          <w:sz w:val="32"/>
          <w:szCs w:val="32"/>
        </w:rPr>
        <w:t>项目土地使用条件及相关税费政策，确认项目不在</w:t>
      </w:r>
      <w:r>
        <w:rPr>
          <w:rFonts w:ascii="Times New Roman" w:hAnsi="Times New Roman" w:eastAsia="仿宋_GB2312" w:cs="Times New Roman"/>
          <w:sz w:val="32"/>
          <w:szCs w:val="32"/>
        </w:rPr>
        <w:t>征收城镇土地使用税的土地范围</w:t>
      </w:r>
      <w:r>
        <w:rPr>
          <w:rFonts w:hint="eastAsia" w:ascii="Times New Roman" w:hAnsi="Times New Roman" w:eastAsia="仿宋_GB2312" w:cs="Times New Roman"/>
          <w:sz w:val="32"/>
          <w:szCs w:val="32"/>
        </w:rPr>
        <w:t>；确认</w:t>
      </w:r>
      <w:r>
        <w:rPr>
          <w:rFonts w:ascii="Times New Roman" w:hAnsi="Times New Roman" w:eastAsia="仿宋_GB2312" w:cs="Times New Roman"/>
          <w:sz w:val="32"/>
          <w:szCs w:val="32"/>
        </w:rPr>
        <w:t>有关地方政府部门在项目开发过程中</w:t>
      </w:r>
      <w:r>
        <w:rPr>
          <w:rFonts w:hint="eastAsia" w:ascii="Times New Roman" w:hAnsi="Times New Roman" w:eastAsia="仿宋_GB2312" w:cs="Times New Roman"/>
          <w:sz w:val="32"/>
          <w:szCs w:val="32"/>
        </w:rPr>
        <w:t>没有</w:t>
      </w:r>
      <w:r>
        <w:rPr>
          <w:rFonts w:ascii="Times New Roman" w:hAnsi="Times New Roman" w:eastAsia="仿宋_GB2312" w:cs="Times New Roman"/>
          <w:sz w:val="32"/>
          <w:szCs w:val="32"/>
        </w:rPr>
        <w:t>以资源出让、企业援建和捐赠等名义变相向企业收费，</w:t>
      </w:r>
      <w:r>
        <w:rPr>
          <w:rFonts w:hint="eastAsia" w:ascii="Times New Roman" w:hAnsi="Times New Roman" w:eastAsia="仿宋_GB2312" w:cs="Times New Roman"/>
          <w:sz w:val="32"/>
          <w:szCs w:val="32"/>
        </w:rPr>
        <w:t>没有</w:t>
      </w:r>
      <w:r>
        <w:rPr>
          <w:rFonts w:ascii="Times New Roman" w:hAnsi="Times New Roman" w:eastAsia="仿宋_GB2312" w:cs="Times New Roman"/>
          <w:sz w:val="32"/>
          <w:szCs w:val="32"/>
        </w:rPr>
        <w:t>强制要求项目直接出让股份或收益用于应由政府承担的各项事务，</w:t>
      </w:r>
      <w:r>
        <w:rPr>
          <w:rFonts w:hint="eastAsia" w:ascii="Times New Roman" w:hAnsi="Times New Roman" w:eastAsia="仿宋_GB2312" w:cs="Times New Roman"/>
          <w:sz w:val="32"/>
          <w:szCs w:val="32"/>
        </w:rPr>
        <w:t>没有</w:t>
      </w:r>
      <w:r>
        <w:rPr>
          <w:rFonts w:ascii="Times New Roman" w:hAnsi="Times New Roman" w:eastAsia="仿宋_GB2312" w:cs="Times New Roman"/>
          <w:sz w:val="32"/>
          <w:szCs w:val="32"/>
        </w:rPr>
        <w:t>强制</w:t>
      </w:r>
      <w:r>
        <w:rPr>
          <w:rFonts w:hint="eastAsia" w:ascii="Times New Roman" w:hAnsi="Times New Roman" w:eastAsia="仿宋_GB2312" w:cs="Times New Roman"/>
          <w:sz w:val="32"/>
          <w:szCs w:val="32"/>
        </w:rPr>
        <w:t>要求将</w:t>
      </w:r>
      <w:r>
        <w:rPr>
          <w:rFonts w:ascii="Times New Roman" w:hAnsi="Times New Roman" w:eastAsia="仿宋_GB2312" w:cs="Times New Roman"/>
          <w:sz w:val="32"/>
          <w:szCs w:val="32"/>
        </w:rPr>
        <w:t>采购本地设备作为捆绑条件。</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请各有关单位按照上述要求，</w:t>
      </w:r>
      <w:r>
        <w:rPr>
          <w:rFonts w:hint="eastAsia" w:ascii="Times New Roman" w:hAnsi="Times New Roman" w:eastAsia="仿宋_GB2312" w:cs="Times New Roman"/>
          <w:sz w:val="32"/>
          <w:szCs w:val="32"/>
        </w:rPr>
        <w:t>完善有关管理工作机制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做好</w:t>
      </w:r>
      <w:r>
        <w:rPr>
          <w:rFonts w:ascii="Times New Roman" w:hAnsi="Times New Roman" w:eastAsia="仿宋_GB2312" w:cs="Times New Roman"/>
          <w:sz w:val="32"/>
          <w:szCs w:val="32"/>
        </w:rPr>
        <w:t>风电、光伏发电</w:t>
      </w:r>
      <w:r>
        <w:rPr>
          <w:rFonts w:hint="eastAsia" w:ascii="Times New Roman" w:hAnsi="Times New Roman" w:eastAsia="仿宋_GB2312" w:cs="Times New Roman"/>
          <w:sz w:val="32"/>
          <w:szCs w:val="32"/>
        </w:rPr>
        <w:t>建设管理工作</w:t>
      </w:r>
      <w:r>
        <w:rPr>
          <w:rFonts w:ascii="Times New Roman" w:hAnsi="Times New Roman" w:eastAsia="仿宋_GB2312" w:cs="Times New Roman"/>
          <w:sz w:val="32"/>
          <w:szCs w:val="32"/>
        </w:rPr>
        <w:t>。</w:t>
      </w:r>
    </w:p>
    <w:p>
      <w:pPr>
        <w:spacing w:line="588" w:lineRule="exact"/>
        <w:ind w:firstLine="640" w:firstLineChars="200"/>
        <w:rPr>
          <w:rFonts w:ascii="Times New Roman" w:hAnsi="Times New Roman" w:eastAsia="仿宋_GB2312" w:cs="Times New Roman"/>
          <w:sz w:val="32"/>
          <w:szCs w:val="32"/>
        </w:rPr>
      </w:pP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 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2019年风电建设管理工作方案</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2019年光伏发电建设管理工作方案</w:t>
      </w:r>
    </w:p>
    <w:p>
      <w:pPr>
        <w:spacing w:line="588"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国家能源局</w:t>
      </w:r>
    </w:p>
    <w:p>
      <w:pPr>
        <w:spacing w:line="588"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2019年</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日</w:t>
      </w:r>
    </w:p>
    <w:p>
      <w:pPr>
        <w:spacing w:line="588" w:lineRule="exact"/>
        <w:ind w:firstLine="640" w:firstLineChars="200"/>
        <w:rPr>
          <w:rFonts w:ascii="Times New Roman" w:hAnsi="Times New Roman" w:eastAsia="仿宋_GB2312" w:cs="Times New Roman"/>
          <w:sz w:val="32"/>
          <w:szCs w:val="32"/>
        </w:rPr>
      </w:pPr>
    </w:p>
    <w:p>
      <w:pPr>
        <w:ind w:firstLine="0" w:firstLineChars="0"/>
        <w:rPr>
          <w:rFonts w:hint="eastAsia" w:ascii="方正黑体_GBK" w:eastAsia="方正黑体_GBK"/>
          <w:sz w:val="30"/>
          <w:szCs w:val="30"/>
        </w:rPr>
      </w:pPr>
      <w:r>
        <w:rPr>
          <w:rFonts w:hint="eastAsia" w:ascii="方正黑体_GBK" w:eastAsia="方正黑体_GBK"/>
          <w:sz w:val="30"/>
          <w:szCs w:val="30"/>
        </w:rPr>
        <w:t>附件1</w:t>
      </w:r>
    </w:p>
    <w:p>
      <w:pPr>
        <w:ind w:firstLine="600"/>
      </w:pPr>
    </w:p>
    <w:p>
      <w:pPr>
        <w:pStyle w:val="7"/>
        <w:rPr>
          <w:bCs w:val="0"/>
          <w:sz w:val="40"/>
          <w:szCs w:val="40"/>
          <w:lang w:val="en-US" w:eastAsia="zh-CN"/>
        </w:rPr>
      </w:pPr>
      <w:r>
        <w:rPr>
          <w:bCs w:val="0"/>
          <w:sz w:val="40"/>
          <w:szCs w:val="40"/>
          <w:lang w:val="en-US" w:eastAsia="zh-CN"/>
        </w:rPr>
        <w:t>2019年风电建设管理工作方案</w:t>
      </w:r>
    </w:p>
    <w:p>
      <w:pPr>
        <w:ind w:firstLine="600"/>
      </w:pPr>
    </w:p>
    <w:p>
      <w:pPr>
        <w:ind w:firstLine="640"/>
        <w:jc w:val="left"/>
        <w:rPr>
          <w:rFonts w:hint="eastAsia" w:eastAsia="仿宋_GB2312"/>
          <w:sz w:val="32"/>
          <w:szCs w:val="32"/>
        </w:rPr>
      </w:pPr>
      <w:r>
        <w:rPr>
          <w:rFonts w:eastAsia="仿宋_GB2312"/>
          <w:sz w:val="32"/>
          <w:szCs w:val="32"/>
        </w:rPr>
        <w:t>为促进风电产业高质量发展，加快降低度电补贴强度，积极推进风电健康有序发展，现就做好2019年度风电建设管理</w:t>
      </w:r>
      <w:r>
        <w:rPr>
          <w:rFonts w:hint="eastAsia" w:eastAsia="仿宋_GB2312"/>
          <w:sz w:val="32"/>
          <w:szCs w:val="32"/>
        </w:rPr>
        <w:t>的</w:t>
      </w:r>
      <w:r>
        <w:rPr>
          <w:rFonts w:eastAsia="仿宋_GB2312"/>
          <w:sz w:val="32"/>
          <w:szCs w:val="32"/>
        </w:rPr>
        <w:t>工作方案通知如下</w:t>
      </w:r>
      <w:r>
        <w:rPr>
          <w:rFonts w:hint="eastAsia" w:eastAsia="仿宋_GB2312"/>
          <w:sz w:val="32"/>
          <w:szCs w:val="32"/>
        </w:rPr>
        <w:t>。</w:t>
      </w:r>
    </w:p>
    <w:p>
      <w:pPr>
        <w:ind w:firstLine="640"/>
        <w:jc w:val="left"/>
        <w:rPr>
          <w:rFonts w:hint="eastAsia" w:ascii="黑体" w:hAnsi="黑体" w:eastAsia="黑体"/>
          <w:sz w:val="32"/>
          <w:szCs w:val="32"/>
        </w:rPr>
      </w:pPr>
      <w:r>
        <w:rPr>
          <w:rFonts w:hint="eastAsia" w:ascii="黑体" w:hAnsi="黑体" w:eastAsia="黑体"/>
          <w:sz w:val="32"/>
          <w:szCs w:val="32"/>
        </w:rPr>
        <w:t>一、有序按规划和消纳能力组织风电建设</w:t>
      </w:r>
    </w:p>
    <w:p>
      <w:pPr>
        <w:widowControl/>
        <w:ind w:firstLine="600" w:firstLineChars="0"/>
        <w:jc w:val="left"/>
        <w:rPr>
          <w:rFonts w:eastAsia="仿宋_GB2312"/>
          <w:sz w:val="32"/>
          <w:szCs w:val="32"/>
        </w:rPr>
      </w:pPr>
      <w:r>
        <w:rPr>
          <w:rFonts w:hint="eastAsia" w:eastAsia="仿宋_GB2312"/>
          <w:sz w:val="32"/>
          <w:szCs w:val="32"/>
        </w:rPr>
        <w:t>各省级能源主管部门要按照国家和本地区风电发展“十三五”规划以及《国家能源局关于可再生能源发展“十三五”规划实施的指导意见》（国能发新能〔2017〕31号）要求，在论证落实消纳能力的前提下，有序组织各类风电项目建设。2018年底前已并网和已核准建设的风电项目（扣除应废止或其他原因不具备建设条件的项目），总规模已超过本省级区域2020年规划并网目标的，除平价上网风电项目外，暂停新增陆上集中式风电项目建设。在省级电网区域内消纳的风电项目由省级电网企业出具电力送出和消纳意见，跨省跨区输电通道配套风电项目的消纳条件须由送受端电网企业联合论证并协商确定。国家电网公司、南方电网公司等电网企业在国家能源局指导下督促各省级电网企业做好风电项目电力送出和消纳落实工作。</w:t>
      </w:r>
    </w:p>
    <w:p>
      <w:pPr>
        <w:ind w:firstLine="640"/>
        <w:jc w:val="left"/>
        <w:rPr>
          <w:rFonts w:hint="eastAsia" w:ascii="黑体" w:hAnsi="黑体" w:eastAsia="黑体"/>
          <w:sz w:val="32"/>
          <w:szCs w:val="32"/>
        </w:rPr>
      </w:pPr>
      <w:r>
        <w:rPr>
          <w:rFonts w:hint="eastAsia" w:ascii="黑体" w:hAnsi="黑体" w:eastAsia="黑体"/>
          <w:sz w:val="32"/>
          <w:szCs w:val="32"/>
        </w:rPr>
        <w:t>二、完善市场配置资源方式</w:t>
      </w:r>
    </w:p>
    <w:p>
      <w:pPr>
        <w:ind w:firstLine="640"/>
        <w:jc w:val="left"/>
        <w:rPr>
          <w:rFonts w:eastAsia="仿宋_GB2312"/>
          <w:sz w:val="32"/>
          <w:szCs w:val="32"/>
        </w:rPr>
      </w:pPr>
      <w:r>
        <w:rPr>
          <w:rFonts w:hint="eastAsia" w:eastAsia="楷体_GB2312"/>
          <w:sz w:val="32"/>
          <w:szCs w:val="32"/>
        </w:rPr>
        <w:t>（一）完善</w:t>
      </w:r>
      <w:r>
        <w:rPr>
          <w:rFonts w:eastAsia="楷体_GB2312"/>
          <w:sz w:val="32"/>
          <w:szCs w:val="32"/>
        </w:rPr>
        <w:t>集中式风电项目竞争配置</w:t>
      </w:r>
      <w:r>
        <w:rPr>
          <w:rFonts w:hint="eastAsia" w:eastAsia="楷体_GB2312"/>
          <w:sz w:val="32"/>
          <w:szCs w:val="32"/>
        </w:rPr>
        <w:t>机制</w:t>
      </w:r>
      <w:r>
        <w:rPr>
          <w:rFonts w:eastAsia="楷体_GB2312"/>
          <w:sz w:val="32"/>
          <w:szCs w:val="32"/>
        </w:rPr>
        <w:t>。</w:t>
      </w:r>
      <w:r>
        <w:rPr>
          <w:rFonts w:hint="eastAsia" w:eastAsia="仿宋_GB2312"/>
          <w:sz w:val="32"/>
          <w:szCs w:val="32"/>
        </w:rPr>
        <w:t>需要国家补贴的集中式风电项目全部通过公开竞争方式配置。各省级能源主管部门要在总结2018年度风电项目竞争配置工作基础上，完善2019年度风电项目竞争配置机制。在开展平价上网风电项目论证和确定2019年度第一批平价上网风电项目名单之前，各地区暂不组织有国家补贴的风电项目的竞争配置工作。在向国家能源局报送2019年度平价上网风电项目名单后，经论证确需组织有国家补贴风电项目的地区，有关省级能源主管部门向国家能源局报送2019年度风电建设实施方案及竞争配置办法（或工作方案），经国家能源局论证并反馈意见后方可开展有补贴风电项目竞争配置工作。参与竞争性配置的风电项目布局应优先向深度贫困地区、革命老区和边远山区倾斜。各跨省跨区输电通道配套风电基地项目的配置，有关省级能源主管部门应按国家能源局明确的建设规模制定专项竞争配置办法，经国家能源局组织论证并反馈意见后实施，或直接按平价上网项目（无国家补贴）组织建设。</w:t>
      </w:r>
    </w:p>
    <w:p>
      <w:pPr>
        <w:ind w:firstLine="640"/>
        <w:jc w:val="left"/>
        <w:rPr>
          <w:rFonts w:eastAsia="宋体"/>
          <w:sz w:val="20"/>
          <w:szCs w:val="20"/>
        </w:rPr>
      </w:pPr>
      <w:r>
        <w:rPr>
          <w:rFonts w:hint="eastAsia" w:ascii="楷体_GB2312" w:eastAsia="楷体_GB2312"/>
          <w:sz w:val="32"/>
          <w:szCs w:val="32"/>
        </w:rPr>
        <w:t>（二）采取多种方式支持分散式风电建设。</w:t>
      </w:r>
      <w:r>
        <w:rPr>
          <w:rFonts w:hint="eastAsia" w:ascii="仿宋_GB2312" w:eastAsia="仿宋_GB2312"/>
          <w:sz w:val="32"/>
          <w:szCs w:val="32"/>
        </w:rPr>
        <w:t>鼓励</w:t>
      </w:r>
      <w:r>
        <w:rPr>
          <w:rFonts w:eastAsia="仿宋_GB2312"/>
          <w:sz w:val="32"/>
          <w:szCs w:val="32"/>
        </w:rPr>
        <w:t>各省（区、市）</w:t>
      </w:r>
      <w:r>
        <w:rPr>
          <w:rFonts w:hint="eastAsia" w:ascii="仿宋_GB2312" w:eastAsia="仿宋_GB2312"/>
          <w:sz w:val="32"/>
          <w:szCs w:val="32"/>
        </w:rPr>
        <w:t>按照分布式发电市场化交易方式支持分散式风电建设，提出并向国家能源局报送分布式发电市场化交易试点方案。</w:t>
      </w:r>
      <w:r>
        <w:rPr>
          <w:rFonts w:eastAsia="仿宋_GB2312"/>
          <w:sz w:val="32"/>
          <w:szCs w:val="32"/>
        </w:rPr>
        <w:t>对其他分散式风电项目，在电网企业论证具备配电网（原则上110千伏及以下）就地消纳的条件下，项目单位向省级及以下地方政府能源主管部门申请核准同意后建设。</w:t>
      </w:r>
    </w:p>
    <w:p>
      <w:pPr>
        <w:ind w:firstLine="640"/>
        <w:jc w:val="left"/>
        <w:rPr>
          <w:rFonts w:hint="eastAsia" w:eastAsia="仿宋_GB2312"/>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优化</w:t>
      </w:r>
      <w:r>
        <w:rPr>
          <w:rFonts w:ascii="黑体" w:hAnsi="黑体" w:eastAsia="黑体"/>
          <w:sz w:val="32"/>
          <w:szCs w:val="32"/>
        </w:rPr>
        <w:t>竞争配置方式</w:t>
      </w:r>
    </w:p>
    <w:p>
      <w:pPr>
        <w:ind w:firstLine="640"/>
        <w:jc w:val="left"/>
        <w:rPr>
          <w:rFonts w:hint="eastAsia" w:ascii="楷体_GB2312" w:eastAsia="楷体_GB2312"/>
          <w:sz w:val="32"/>
          <w:szCs w:val="32"/>
        </w:rPr>
      </w:pPr>
      <w:r>
        <w:rPr>
          <w:rFonts w:hint="eastAsia" w:ascii="楷体_GB2312" w:eastAsia="楷体_GB2312"/>
          <w:sz w:val="32"/>
          <w:szCs w:val="32"/>
        </w:rPr>
        <w:t>（一）竞争配置方式选择</w:t>
      </w:r>
    </w:p>
    <w:p>
      <w:pPr>
        <w:ind w:firstLine="640"/>
        <w:jc w:val="left"/>
        <w:rPr>
          <w:rFonts w:hint="eastAsia" w:eastAsia="仿宋_GB2312"/>
          <w:sz w:val="32"/>
          <w:szCs w:val="32"/>
        </w:rPr>
      </w:pPr>
      <w:r>
        <w:rPr>
          <w:rFonts w:hint="eastAsia" w:eastAsia="仿宋_GB2312"/>
          <w:sz w:val="32"/>
          <w:szCs w:val="32"/>
        </w:rPr>
        <w:t>1. 第一种方式。</w:t>
      </w:r>
      <w:r>
        <w:rPr>
          <w:rFonts w:eastAsia="仿宋_GB2312"/>
          <w:sz w:val="32"/>
          <w:szCs w:val="32"/>
        </w:rPr>
        <w:t>风电开发前期工作已由</w:t>
      </w:r>
      <w:r>
        <w:rPr>
          <w:rFonts w:hint="eastAsia" w:eastAsia="仿宋_GB2312"/>
          <w:sz w:val="32"/>
          <w:szCs w:val="32"/>
        </w:rPr>
        <w:t>开发</w:t>
      </w:r>
      <w:r>
        <w:rPr>
          <w:rFonts w:eastAsia="仿宋_GB2312"/>
          <w:sz w:val="32"/>
          <w:szCs w:val="32"/>
        </w:rPr>
        <w:t>企业自行</w:t>
      </w:r>
      <w:r>
        <w:rPr>
          <w:rFonts w:hint="eastAsia" w:eastAsia="仿宋_GB2312"/>
          <w:sz w:val="32"/>
          <w:szCs w:val="32"/>
        </w:rPr>
        <w:t>完成</w:t>
      </w:r>
      <w:r>
        <w:rPr>
          <w:rFonts w:eastAsia="仿宋_GB2312"/>
          <w:sz w:val="32"/>
          <w:szCs w:val="32"/>
        </w:rPr>
        <w:t>，省级能源主管部门按照竞争配置办法择优选择列入年度建设方案的项目。</w:t>
      </w:r>
      <w:r>
        <w:rPr>
          <w:rFonts w:hint="eastAsia" w:eastAsia="仿宋_GB2312"/>
          <w:sz w:val="32"/>
          <w:szCs w:val="32"/>
        </w:rPr>
        <w:t>各开发企业参与竞争配置的风电项目应满足前期工作深度要求，并在参与竞争配置的同时承诺项目核准、开工建设和完成并网的时间节点。</w:t>
      </w:r>
    </w:p>
    <w:p>
      <w:pPr>
        <w:ind w:firstLine="640"/>
        <w:jc w:val="left"/>
        <w:rPr>
          <w:rFonts w:hint="eastAsia" w:eastAsia="仿宋_GB2312"/>
          <w:sz w:val="32"/>
          <w:szCs w:val="32"/>
        </w:rPr>
      </w:pPr>
      <w:r>
        <w:rPr>
          <w:rFonts w:hint="eastAsia" w:eastAsia="仿宋_GB2312"/>
          <w:sz w:val="32"/>
          <w:szCs w:val="32"/>
        </w:rPr>
        <w:t>2. 第二种方式。</w:t>
      </w:r>
      <w:r>
        <w:rPr>
          <w:rFonts w:eastAsia="仿宋_GB2312"/>
          <w:sz w:val="32"/>
          <w:szCs w:val="32"/>
        </w:rPr>
        <w:t>省级能源主管部门和省级以下地方政府已委托第三方技术机构开展资源勘查等前期工作，确定计划开发的区块和建设规模，</w:t>
      </w:r>
      <w:r>
        <w:rPr>
          <w:rFonts w:hint="eastAsia" w:eastAsia="仿宋_GB2312"/>
          <w:sz w:val="32"/>
          <w:szCs w:val="32"/>
        </w:rPr>
        <w:t>在已落实项目土地使用和电力送出及消纳等外部条件下，</w:t>
      </w:r>
      <w:r>
        <w:rPr>
          <w:rFonts w:eastAsia="仿宋_GB2312"/>
          <w:sz w:val="32"/>
          <w:szCs w:val="32"/>
        </w:rPr>
        <w:t>按照竞争配置办法选择投资开发企业。</w:t>
      </w:r>
    </w:p>
    <w:p>
      <w:pPr>
        <w:ind w:firstLine="640"/>
        <w:jc w:val="left"/>
        <w:rPr>
          <w:rFonts w:hint="eastAsia" w:ascii="楷体_GB2312" w:eastAsia="楷体_GB2312"/>
          <w:sz w:val="32"/>
          <w:szCs w:val="32"/>
        </w:rPr>
      </w:pPr>
      <w:r>
        <w:rPr>
          <w:rFonts w:hint="eastAsia" w:ascii="楷体_GB2312" w:eastAsia="楷体_GB2312"/>
          <w:sz w:val="32"/>
          <w:szCs w:val="32"/>
        </w:rPr>
        <w:t>（二）竞争配置方案要求</w:t>
      </w:r>
    </w:p>
    <w:p>
      <w:pPr>
        <w:ind w:firstLine="640"/>
        <w:jc w:val="left"/>
        <w:rPr>
          <w:rFonts w:eastAsia="仿宋_GB2312"/>
          <w:sz w:val="32"/>
          <w:szCs w:val="32"/>
        </w:rPr>
      </w:pPr>
      <w:r>
        <w:rPr>
          <w:rFonts w:hint="eastAsia" w:eastAsia="仿宋_GB2312"/>
          <w:sz w:val="32"/>
          <w:szCs w:val="32"/>
        </w:rPr>
        <w:t>各省级能源主管部门</w:t>
      </w:r>
      <w:r>
        <w:rPr>
          <w:rFonts w:eastAsia="仿宋_GB2312"/>
          <w:sz w:val="32"/>
          <w:szCs w:val="32"/>
        </w:rPr>
        <w:t>应测算并确定低于国务院价格部门发布的本区域风电标杆上网电价的竞争配置上网电价上限，在向国家能源局报送的2019年度风电建设方案中应包括新增建设规模及总体布局、竞争配置办法、</w:t>
      </w:r>
      <w:r>
        <w:rPr>
          <w:rFonts w:hint="eastAsia" w:eastAsia="仿宋_GB2312"/>
          <w:sz w:val="32"/>
          <w:szCs w:val="32"/>
        </w:rPr>
        <w:t>本</w:t>
      </w:r>
      <w:r>
        <w:rPr>
          <w:rFonts w:eastAsia="仿宋_GB2312"/>
          <w:sz w:val="32"/>
          <w:szCs w:val="32"/>
        </w:rPr>
        <w:t>年度竞争配置电价上限。国家能源局会同有关部门</w:t>
      </w:r>
      <w:r>
        <w:rPr>
          <w:rFonts w:hint="eastAsia" w:eastAsia="仿宋_GB2312"/>
          <w:sz w:val="32"/>
          <w:szCs w:val="32"/>
        </w:rPr>
        <w:t>对各省级能源主管部门</w:t>
      </w:r>
      <w:r>
        <w:rPr>
          <w:rFonts w:eastAsia="仿宋_GB2312"/>
          <w:sz w:val="32"/>
          <w:szCs w:val="32"/>
        </w:rPr>
        <w:t>报送</w:t>
      </w:r>
      <w:r>
        <w:rPr>
          <w:rFonts w:hint="eastAsia" w:eastAsia="仿宋_GB2312"/>
          <w:sz w:val="32"/>
          <w:szCs w:val="32"/>
        </w:rPr>
        <w:t>备案</w:t>
      </w:r>
      <w:r>
        <w:rPr>
          <w:rFonts w:eastAsia="仿宋_GB2312"/>
          <w:sz w:val="32"/>
          <w:szCs w:val="32"/>
        </w:rPr>
        <w:t>的建设方案</w:t>
      </w:r>
      <w:r>
        <w:rPr>
          <w:rFonts w:hint="eastAsia" w:eastAsia="仿宋_GB2312"/>
          <w:sz w:val="32"/>
          <w:szCs w:val="32"/>
        </w:rPr>
        <w:t>进行论证</w:t>
      </w:r>
      <w:r>
        <w:rPr>
          <w:rFonts w:eastAsia="仿宋_GB2312"/>
          <w:sz w:val="32"/>
          <w:szCs w:val="32"/>
        </w:rPr>
        <w:t>，</w:t>
      </w:r>
      <w:r>
        <w:rPr>
          <w:rFonts w:hint="eastAsia" w:eastAsia="仿宋_GB2312"/>
          <w:sz w:val="32"/>
          <w:szCs w:val="32"/>
        </w:rPr>
        <w:t>按是否</w:t>
      </w:r>
      <w:r>
        <w:rPr>
          <w:rFonts w:eastAsia="仿宋_GB2312"/>
          <w:sz w:val="32"/>
          <w:szCs w:val="32"/>
        </w:rPr>
        <w:t>符合国家有关可再生能源规划、可确保</w:t>
      </w:r>
      <w:r>
        <w:rPr>
          <w:rFonts w:hint="eastAsia" w:eastAsia="仿宋_GB2312"/>
          <w:sz w:val="32"/>
          <w:szCs w:val="32"/>
        </w:rPr>
        <w:t>电力送出和</w:t>
      </w:r>
      <w:r>
        <w:rPr>
          <w:rFonts w:eastAsia="仿宋_GB2312"/>
          <w:sz w:val="32"/>
          <w:szCs w:val="32"/>
        </w:rPr>
        <w:t>消纳、</w:t>
      </w:r>
      <w:r>
        <w:rPr>
          <w:rFonts w:hint="eastAsia" w:eastAsia="仿宋_GB2312"/>
          <w:sz w:val="32"/>
          <w:szCs w:val="32"/>
        </w:rPr>
        <w:t>在国家补贴</w:t>
      </w:r>
      <w:r>
        <w:rPr>
          <w:rFonts w:eastAsia="仿宋_GB2312"/>
          <w:sz w:val="32"/>
          <w:szCs w:val="32"/>
        </w:rPr>
        <w:t>资金可承受</w:t>
      </w:r>
      <w:r>
        <w:rPr>
          <w:rFonts w:hint="eastAsia" w:eastAsia="仿宋_GB2312"/>
          <w:sz w:val="32"/>
          <w:szCs w:val="32"/>
        </w:rPr>
        <w:t>程度内等条件论证后对</w:t>
      </w:r>
      <w:r>
        <w:rPr>
          <w:rFonts w:eastAsia="仿宋_GB2312"/>
          <w:sz w:val="32"/>
          <w:szCs w:val="32"/>
        </w:rPr>
        <w:t>所报建设方案</w:t>
      </w:r>
      <w:r>
        <w:rPr>
          <w:rFonts w:hint="eastAsia" w:eastAsia="仿宋_GB2312"/>
          <w:sz w:val="32"/>
          <w:szCs w:val="32"/>
        </w:rPr>
        <w:t>予以确认或提出调整意见，各省级能源主管部门</w:t>
      </w:r>
      <w:r>
        <w:rPr>
          <w:rFonts w:eastAsia="仿宋_GB2312"/>
          <w:sz w:val="32"/>
          <w:szCs w:val="32"/>
        </w:rPr>
        <w:t>据此组织</w:t>
      </w:r>
      <w:r>
        <w:rPr>
          <w:rFonts w:hint="eastAsia" w:eastAsia="仿宋_GB2312"/>
          <w:sz w:val="32"/>
          <w:szCs w:val="32"/>
        </w:rPr>
        <w:t>风电项目</w:t>
      </w:r>
      <w:r>
        <w:rPr>
          <w:rFonts w:eastAsia="仿宋_GB2312"/>
          <w:sz w:val="32"/>
          <w:szCs w:val="32"/>
        </w:rPr>
        <w:t>竞争配置工作。跨省跨区外送通道配置风电等可再生能源项目配置办法专门报国家能源局</w:t>
      </w:r>
      <w:r>
        <w:rPr>
          <w:rFonts w:hint="eastAsia" w:eastAsia="仿宋_GB2312"/>
          <w:sz w:val="32"/>
          <w:szCs w:val="32"/>
        </w:rPr>
        <w:t>，经论证</w:t>
      </w:r>
      <w:r>
        <w:rPr>
          <w:rFonts w:eastAsia="仿宋_GB2312"/>
          <w:sz w:val="32"/>
          <w:szCs w:val="32"/>
        </w:rPr>
        <w:t>同意后实施。</w:t>
      </w:r>
    </w:p>
    <w:p>
      <w:pPr>
        <w:ind w:firstLine="640"/>
        <w:jc w:val="left"/>
        <w:rPr>
          <w:rFonts w:hint="eastAsia" w:ascii="黑体" w:hAnsi="黑体" w:eastAsia="黑体"/>
          <w:sz w:val="32"/>
          <w:szCs w:val="32"/>
        </w:rPr>
      </w:pPr>
      <w:r>
        <w:rPr>
          <w:rFonts w:hint="eastAsia" w:ascii="黑体" w:hAnsi="黑体" w:eastAsia="黑体"/>
          <w:sz w:val="32"/>
          <w:szCs w:val="32"/>
        </w:rPr>
        <w:t>四、严格落实项目电力送出和消纳条件</w:t>
      </w:r>
    </w:p>
    <w:p>
      <w:pPr>
        <w:ind w:firstLine="640"/>
        <w:jc w:val="left"/>
        <w:rPr>
          <w:rFonts w:hint="eastAsia" w:ascii="黑体" w:hAnsi="黑体" w:eastAsia="黑体"/>
          <w:sz w:val="32"/>
          <w:szCs w:val="32"/>
        </w:rPr>
      </w:pPr>
      <w:r>
        <w:rPr>
          <w:rFonts w:hint="eastAsia" w:eastAsia="仿宋_GB2312"/>
          <w:sz w:val="32"/>
          <w:szCs w:val="32"/>
        </w:rPr>
        <w:t>各类拟新建风电项目均应以落实项目电力送出和消纳为前提条件。在消纳能力受限省级区域或跨省区输电通道配置集中式风电项目，按度电补贴最小化原则进行消纳能力分配。2018年或以前年度已核准或已配置的风电项目，如项目单位承诺转为平价上网项目，按第一类优先级配置；2019年度新建平价上网项目按第二类优先级配置。在同等条件下，对在贫困地区布局的风电项目优先落实电力送出和消纳条件。</w:t>
      </w:r>
    </w:p>
    <w:p>
      <w:pPr>
        <w:ind w:firstLine="640"/>
        <w:jc w:val="left"/>
        <w:rPr>
          <w:rFonts w:hint="eastAsia" w:ascii="黑体" w:hAnsi="黑体" w:eastAsia="黑体"/>
          <w:sz w:val="32"/>
          <w:szCs w:val="32"/>
        </w:rPr>
      </w:pPr>
      <w:r>
        <w:rPr>
          <w:rFonts w:hint="eastAsia" w:ascii="黑体" w:hAnsi="黑体" w:eastAsia="黑体"/>
          <w:sz w:val="32"/>
          <w:szCs w:val="32"/>
        </w:rPr>
        <w:t>五、分类指导存量项目建设</w:t>
      </w:r>
    </w:p>
    <w:p>
      <w:pPr>
        <w:ind w:firstLine="640"/>
        <w:jc w:val="left"/>
        <w:rPr>
          <w:rFonts w:hint="eastAsia" w:eastAsia="仿宋_GB2312"/>
          <w:sz w:val="32"/>
          <w:szCs w:val="32"/>
        </w:rPr>
      </w:pPr>
      <w:r>
        <w:rPr>
          <w:rFonts w:hint="eastAsia" w:eastAsia="仿宋_GB2312"/>
          <w:sz w:val="32"/>
          <w:szCs w:val="32"/>
        </w:rPr>
        <w:t>各省级能源主管部门要对已核准在建风电项目进行梳理，建立项目信息管理台账，分类指导建设。已核准两年但未开工建设也未申请延期（或已经申请延期但是延长期限内仍未开工建设）的风电项目，无论企业是否承诺继续建设，相关核准文件应按照项目核准管理规定予以废止。如项目单位希望继续建设，应在项目核准管理机构同意后，将其作为新核准建设项目参与本年度新建项目竞争配置，并根据竞争结果纳入本年度的建设方案。对因预警停建或其他原因虽核准但未实质性开工的风电项目，尚在核准有效期的须将其与拟新核准建设项目一并通过竞争配置方式竞争确定上网电价。鼓励各类在建或核准后未实质性开工风电项目转为平价上网风电项目，执行有关平价上网的支持政策。</w:t>
      </w:r>
    </w:p>
    <w:p>
      <w:pPr>
        <w:ind w:firstLine="640"/>
        <w:jc w:val="left"/>
        <w:rPr>
          <w:rFonts w:hint="eastAsia" w:ascii="黑体" w:hAnsi="黑体" w:eastAsia="黑体"/>
          <w:sz w:val="32"/>
          <w:szCs w:val="32"/>
        </w:rPr>
      </w:pPr>
      <w:r>
        <w:rPr>
          <w:rFonts w:hint="eastAsia" w:ascii="黑体" w:hAnsi="黑体" w:eastAsia="黑体"/>
          <w:sz w:val="32"/>
          <w:szCs w:val="32"/>
        </w:rPr>
        <w:t>六、</w:t>
      </w:r>
      <w:r>
        <w:rPr>
          <w:rFonts w:ascii="黑体" w:hAnsi="黑体" w:eastAsia="黑体"/>
          <w:sz w:val="32"/>
          <w:szCs w:val="32"/>
        </w:rPr>
        <w:t>有序</w:t>
      </w:r>
      <w:r>
        <w:rPr>
          <w:rFonts w:hint="eastAsia" w:ascii="黑体" w:hAnsi="黑体" w:eastAsia="黑体"/>
          <w:sz w:val="32"/>
          <w:szCs w:val="32"/>
        </w:rPr>
        <w:t>推进</w:t>
      </w:r>
      <w:r>
        <w:rPr>
          <w:rFonts w:ascii="黑体" w:hAnsi="黑体" w:eastAsia="黑体"/>
          <w:sz w:val="32"/>
          <w:szCs w:val="32"/>
        </w:rPr>
        <w:t>预警解除地区风电项目建设</w:t>
      </w:r>
    </w:p>
    <w:p>
      <w:pPr>
        <w:widowControl/>
        <w:ind w:firstLine="600" w:firstLineChars="0"/>
        <w:jc w:val="left"/>
        <w:rPr>
          <w:rFonts w:hint="eastAsia" w:eastAsia="仿宋_GB2312"/>
          <w:sz w:val="32"/>
          <w:szCs w:val="32"/>
        </w:rPr>
      </w:pPr>
      <w:r>
        <w:rPr>
          <w:rFonts w:hint="eastAsia" w:eastAsia="仿宋_GB2312"/>
          <w:sz w:val="32"/>
          <w:szCs w:val="32"/>
        </w:rPr>
        <w:t>风电投资监测</w:t>
      </w:r>
      <w:r>
        <w:rPr>
          <w:rFonts w:eastAsia="仿宋_GB2312"/>
          <w:sz w:val="32"/>
          <w:szCs w:val="32"/>
        </w:rPr>
        <w:t>预警级别从红色</w:t>
      </w:r>
      <w:r>
        <w:rPr>
          <w:rFonts w:hint="eastAsia" w:eastAsia="仿宋_GB2312"/>
          <w:sz w:val="32"/>
          <w:szCs w:val="32"/>
        </w:rPr>
        <w:t>转</w:t>
      </w:r>
      <w:r>
        <w:rPr>
          <w:rFonts w:eastAsia="仿宋_GB2312"/>
          <w:sz w:val="32"/>
          <w:szCs w:val="32"/>
        </w:rPr>
        <w:t>为橙色以及</w:t>
      </w:r>
      <w:r>
        <w:rPr>
          <w:rFonts w:hint="eastAsia" w:eastAsia="仿宋_GB2312"/>
          <w:sz w:val="32"/>
          <w:szCs w:val="32"/>
        </w:rPr>
        <w:t>从</w:t>
      </w:r>
      <w:r>
        <w:rPr>
          <w:rFonts w:eastAsia="仿宋_GB2312"/>
          <w:sz w:val="32"/>
          <w:szCs w:val="32"/>
        </w:rPr>
        <w:t>红色、橙色</w:t>
      </w:r>
      <w:r>
        <w:rPr>
          <w:rFonts w:hint="eastAsia" w:eastAsia="仿宋_GB2312"/>
          <w:sz w:val="32"/>
          <w:szCs w:val="32"/>
        </w:rPr>
        <w:t>转</w:t>
      </w:r>
      <w:r>
        <w:rPr>
          <w:rFonts w:eastAsia="仿宋_GB2312"/>
          <w:sz w:val="32"/>
          <w:szCs w:val="32"/>
        </w:rPr>
        <w:t>为绿色的地区，应统筹考虑已核准风电项目和新增加建设规模项目，严格按电网企业论证提出的电网接入能力启动之前停建项目</w:t>
      </w:r>
      <w:r>
        <w:rPr>
          <w:rFonts w:hint="eastAsia" w:eastAsia="仿宋_GB2312"/>
          <w:sz w:val="32"/>
          <w:szCs w:val="32"/>
        </w:rPr>
        <w:t>以及新建项目</w:t>
      </w:r>
      <w:r>
        <w:rPr>
          <w:rFonts w:eastAsia="仿宋_GB2312"/>
          <w:sz w:val="32"/>
          <w:szCs w:val="32"/>
        </w:rPr>
        <w:t>。对预警停建或其他原因停建风电项目，尚未发生实际工程投入的，按一定优先配置权与新项目一并竞争确定上网电价。有关地区应将年度</w:t>
      </w:r>
      <w:r>
        <w:rPr>
          <w:rFonts w:hint="eastAsia" w:eastAsia="仿宋_GB2312"/>
          <w:sz w:val="32"/>
          <w:szCs w:val="32"/>
        </w:rPr>
        <w:t>建设</w:t>
      </w:r>
      <w:r>
        <w:rPr>
          <w:rFonts w:eastAsia="仿宋_GB2312"/>
          <w:sz w:val="32"/>
          <w:szCs w:val="32"/>
        </w:rPr>
        <w:t>方案报送国家能源局，经论证同意后实施。</w:t>
      </w:r>
    </w:p>
    <w:p>
      <w:pPr>
        <w:widowControl/>
        <w:ind w:firstLine="640"/>
        <w:jc w:val="left"/>
        <w:rPr>
          <w:rFonts w:hint="eastAsia" w:ascii="黑体" w:hAnsi="黑体" w:eastAsia="黑体"/>
          <w:sz w:val="32"/>
          <w:szCs w:val="32"/>
        </w:rPr>
      </w:pPr>
      <w:r>
        <w:rPr>
          <w:rFonts w:hint="eastAsia" w:ascii="黑体" w:hAnsi="黑体" w:eastAsia="黑体"/>
          <w:sz w:val="32"/>
          <w:szCs w:val="32"/>
        </w:rPr>
        <w:t>七、有序稳妥推进海上风电项目建设</w:t>
      </w:r>
    </w:p>
    <w:p>
      <w:pPr>
        <w:widowControl/>
        <w:ind w:firstLine="640"/>
        <w:jc w:val="left"/>
        <w:rPr>
          <w:rFonts w:hint="eastAsia" w:eastAsia="宋体"/>
          <w:kern w:val="0"/>
          <w:sz w:val="20"/>
          <w:szCs w:val="20"/>
        </w:rPr>
      </w:pPr>
      <w:r>
        <w:rPr>
          <w:rFonts w:hint="eastAsia" w:eastAsia="仿宋_GB2312"/>
          <w:sz w:val="32"/>
          <w:szCs w:val="32"/>
        </w:rPr>
        <w:t>有关沿海省级能源主管部门要完善海上风电项目竞争配置和建设管理，在2018年已开展海上风电竞争配置工作基础上，进一步完善海上风电项目竞争配置办法。2018年度未通过竞争方式进入国家补贴范围并确定上网电价的海上风电项目，其核准文件不能作为享受国家补贴的依据。在《国家能源局关于2018年度风电建设管理有关要求的通知》（国能发新能〔2018〕47号）发布之日前获得核准的海上风电项目，在本次通知发布前未办齐开工前手续的，均参加竞争配置并通过竞争确定上网电价。从2019年度起，新建海上风电项目的电力送出由所在省级电网企业统一规划和组织实施，有关省级能源主管部门组织新的海上风电项目，均应在制定海上风电输电规划的基础上进行。</w:t>
      </w:r>
    </w:p>
    <w:p>
      <w:pPr>
        <w:widowControl/>
        <w:ind w:firstLine="640"/>
        <w:jc w:val="left"/>
        <w:rPr>
          <w:rFonts w:hint="eastAsia" w:ascii="黑体" w:hAnsi="黑体" w:eastAsia="黑体"/>
          <w:sz w:val="32"/>
          <w:szCs w:val="32"/>
        </w:rPr>
      </w:pPr>
      <w:r>
        <w:rPr>
          <w:rFonts w:hint="eastAsia" w:ascii="黑体" w:hAnsi="黑体" w:eastAsia="黑体"/>
          <w:sz w:val="32"/>
          <w:szCs w:val="32"/>
        </w:rPr>
        <w:t>八、建立先确认补贴再开工建设的机制</w:t>
      </w:r>
    </w:p>
    <w:p>
      <w:pPr>
        <w:widowControl/>
        <w:ind w:firstLine="640"/>
        <w:rPr>
          <w:rFonts w:hint="eastAsia" w:eastAsia="仿宋_GB2312"/>
          <w:sz w:val="32"/>
          <w:szCs w:val="32"/>
        </w:rPr>
      </w:pPr>
      <w:r>
        <w:rPr>
          <w:rFonts w:hint="eastAsia" w:eastAsia="仿宋_GB2312"/>
          <w:sz w:val="32"/>
          <w:szCs w:val="32"/>
        </w:rPr>
        <w:t>2019年度新建有国家补贴的集中式风电项目均需经竞争配置纳入年度建设方案（相应地在规定期限内建成后可享受国家补贴），各省级及以下能源主管部门核准的有国家补贴的集中式风电项目均应先行纳入年度建设方案。对平价上网风电项目或地方负责补贴（或在省级电网内进行电价分摊）的风电项目，有关省级能源主管部门可在落实电力送出和消纳条件的前提下核准建设。</w:t>
      </w:r>
    </w:p>
    <w:p>
      <w:pPr>
        <w:ind w:firstLine="640"/>
        <w:jc w:val="left"/>
        <w:rPr>
          <w:rFonts w:hint="eastAsia" w:ascii="黑体" w:hAnsi="黑体" w:eastAsia="黑体"/>
          <w:sz w:val="32"/>
          <w:szCs w:val="32"/>
        </w:rPr>
      </w:pPr>
      <w:r>
        <w:rPr>
          <w:rFonts w:hint="eastAsia" w:ascii="黑体" w:hAnsi="黑体" w:eastAsia="黑体"/>
          <w:sz w:val="32"/>
          <w:szCs w:val="32"/>
        </w:rPr>
        <w:t>九、强化</w:t>
      </w:r>
      <w:r>
        <w:rPr>
          <w:rFonts w:ascii="黑体" w:hAnsi="黑体" w:eastAsia="黑体"/>
          <w:sz w:val="32"/>
          <w:szCs w:val="32"/>
        </w:rPr>
        <w:t>承诺</w:t>
      </w:r>
      <w:r>
        <w:rPr>
          <w:rFonts w:hint="eastAsia" w:ascii="黑体" w:hAnsi="黑体" w:eastAsia="黑体"/>
          <w:sz w:val="32"/>
          <w:szCs w:val="32"/>
        </w:rPr>
        <w:t>条件核实</w:t>
      </w:r>
    </w:p>
    <w:p>
      <w:pPr>
        <w:widowControl/>
        <w:ind w:firstLine="640"/>
        <w:jc w:val="left"/>
        <w:rPr>
          <w:rFonts w:hint="eastAsia" w:eastAsia="仿宋_GB2312"/>
          <w:sz w:val="32"/>
          <w:szCs w:val="32"/>
        </w:rPr>
      </w:pPr>
      <w:r>
        <w:rPr>
          <w:rFonts w:hint="eastAsia" w:eastAsia="仿宋_GB2312"/>
          <w:sz w:val="32"/>
          <w:szCs w:val="32"/>
        </w:rPr>
        <w:t>（一）</w:t>
      </w:r>
      <w:r>
        <w:rPr>
          <w:rFonts w:eastAsia="仿宋_GB2312"/>
          <w:sz w:val="32"/>
          <w:szCs w:val="32"/>
        </w:rPr>
        <w:t>各地市（县）级政府相关部门推荐风电项目参加新增建设规模竞争配置时，应对上述建设条件做出有效承诺或说明，省级能源主管部门应对相关市（县）履行承诺的情况进行</w:t>
      </w:r>
      <w:r>
        <w:rPr>
          <w:rFonts w:hint="eastAsia" w:eastAsia="仿宋_GB2312"/>
          <w:sz w:val="32"/>
          <w:szCs w:val="32"/>
        </w:rPr>
        <w:t>监测核实</w:t>
      </w:r>
      <w:r>
        <w:rPr>
          <w:rFonts w:eastAsia="仿宋_GB2312"/>
          <w:sz w:val="32"/>
          <w:szCs w:val="32"/>
        </w:rPr>
        <w:t>，并及时对全社会公示承诺履行情况，作为后续安排新增风电建设规模的重要依据。</w:t>
      </w:r>
    </w:p>
    <w:p>
      <w:pPr>
        <w:widowControl/>
        <w:ind w:firstLine="640"/>
        <w:jc w:val="left"/>
      </w:pPr>
      <w:r>
        <w:rPr>
          <w:rFonts w:hint="eastAsia" w:eastAsia="仿宋_GB2312"/>
          <w:sz w:val="32"/>
          <w:szCs w:val="32"/>
        </w:rPr>
        <w:t>（二）</w:t>
      </w:r>
      <w:r>
        <w:rPr>
          <w:rFonts w:eastAsia="仿宋_GB2312"/>
          <w:sz w:val="32"/>
          <w:szCs w:val="32"/>
        </w:rPr>
        <w:t>各地市（县）级政府相关部门对违反相关规定的</w:t>
      </w:r>
      <w:r>
        <w:rPr>
          <w:rFonts w:hint="eastAsia" w:eastAsia="仿宋_GB2312"/>
          <w:sz w:val="32"/>
          <w:szCs w:val="32"/>
        </w:rPr>
        <w:t>项目单位</w:t>
      </w:r>
      <w:r>
        <w:rPr>
          <w:rFonts w:eastAsia="仿宋_GB2312"/>
          <w:sz w:val="32"/>
          <w:szCs w:val="32"/>
        </w:rPr>
        <w:t>，应</w:t>
      </w:r>
      <w:r>
        <w:rPr>
          <w:rFonts w:hint="eastAsia" w:eastAsia="仿宋_GB2312"/>
          <w:sz w:val="32"/>
          <w:szCs w:val="32"/>
        </w:rPr>
        <w:t>要求其严格整改并</w:t>
      </w:r>
      <w:r>
        <w:rPr>
          <w:rFonts w:eastAsia="仿宋_GB2312"/>
          <w:sz w:val="32"/>
          <w:szCs w:val="32"/>
        </w:rPr>
        <w:t>在本年度或者下一年度风电竞争配置中对相应的分数酌情予以扣减。</w:t>
      </w:r>
    </w:p>
    <w:p>
      <w:pPr>
        <w:widowControl/>
        <w:ind w:firstLine="640"/>
        <w:jc w:val="left"/>
        <w:rPr>
          <w:rFonts w:hint="eastAsia" w:eastAsia="仿宋_GB2312"/>
          <w:sz w:val="32"/>
          <w:szCs w:val="32"/>
        </w:rPr>
      </w:pPr>
      <w:r>
        <w:rPr>
          <w:rFonts w:hint="eastAsia" w:eastAsia="仿宋_GB2312"/>
          <w:sz w:val="32"/>
          <w:szCs w:val="32"/>
        </w:rPr>
        <w:t>（三）第一种竞争配置方式下，对未完成承诺的项目单位将采取纳入征信平台、取消参与竞争配置资格等惩戒措施。</w:t>
      </w:r>
    </w:p>
    <w:p>
      <w:pPr>
        <w:ind w:firstLine="640"/>
        <w:jc w:val="left"/>
        <w:rPr>
          <w:rFonts w:hint="eastAsia" w:ascii="黑体" w:hAnsi="黑体" w:eastAsia="黑体"/>
          <w:sz w:val="32"/>
          <w:szCs w:val="32"/>
        </w:rPr>
      </w:pPr>
      <w:r>
        <w:rPr>
          <w:rFonts w:hint="eastAsia" w:ascii="黑体" w:hAnsi="黑体" w:eastAsia="黑体"/>
          <w:sz w:val="32"/>
          <w:szCs w:val="32"/>
        </w:rPr>
        <w:t>十</w:t>
      </w:r>
      <w:r>
        <w:rPr>
          <w:rFonts w:ascii="黑体" w:hAnsi="黑体" w:eastAsia="黑体"/>
          <w:sz w:val="32"/>
          <w:szCs w:val="32"/>
        </w:rPr>
        <w:t>、做好风电</w:t>
      </w:r>
      <w:r>
        <w:rPr>
          <w:rFonts w:hint="eastAsia" w:ascii="黑体" w:hAnsi="黑体" w:eastAsia="黑体"/>
          <w:sz w:val="32"/>
          <w:szCs w:val="32"/>
        </w:rPr>
        <w:t>项目</w:t>
      </w:r>
      <w:r>
        <w:rPr>
          <w:rFonts w:ascii="黑体" w:hAnsi="黑体" w:eastAsia="黑体"/>
          <w:sz w:val="32"/>
          <w:szCs w:val="32"/>
        </w:rPr>
        <w:t>建设</w:t>
      </w:r>
      <w:r>
        <w:rPr>
          <w:rFonts w:hint="eastAsia" w:ascii="黑体" w:hAnsi="黑体" w:eastAsia="黑体"/>
          <w:sz w:val="32"/>
          <w:szCs w:val="32"/>
        </w:rPr>
        <w:t>信息监测</w:t>
      </w:r>
      <w:r>
        <w:rPr>
          <w:rFonts w:ascii="黑体" w:hAnsi="黑体" w:eastAsia="黑体"/>
          <w:sz w:val="32"/>
          <w:szCs w:val="32"/>
        </w:rPr>
        <w:t>工作</w:t>
      </w:r>
    </w:p>
    <w:p>
      <w:pPr>
        <w:ind w:firstLine="640"/>
        <w:rPr>
          <w:rFonts w:eastAsia="仿宋_GB2312"/>
          <w:sz w:val="32"/>
          <w:szCs w:val="32"/>
        </w:rPr>
      </w:pPr>
      <w:r>
        <w:rPr>
          <w:rFonts w:eastAsia="仿宋_GB2312"/>
          <w:sz w:val="32"/>
          <w:szCs w:val="32"/>
        </w:rPr>
        <w:t>请</w:t>
      </w:r>
      <w:r>
        <w:rPr>
          <w:rFonts w:hint="eastAsia" w:eastAsia="仿宋_GB2312"/>
          <w:sz w:val="32"/>
          <w:szCs w:val="32"/>
        </w:rPr>
        <w:t>各省（区、市）能源主管部门组织各项目单位</w:t>
      </w:r>
      <w:r>
        <w:rPr>
          <w:rFonts w:eastAsia="仿宋_GB2312"/>
          <w:sz w:val="32"/>
          <w:szCs w:val="32"/>
        </w:rPr>
        <w:t>按照相关要求</w:t>
      </w:r>
      <w:r>
        <w:rPr>
          <w:rFonts w:hint="eastAsia" w:eastAsia="仿宋_GB2312"/>
          <w:sz w:val="32"/>
          <w:szCs w:val="32"/>
        </w:rPr>
        <w:t>在</w:t>
      </w:r>
      <w:r>
        <w:rPr>
          <w:rFonts w:eastAsia="仿宋_GB2312"/>
          <w:sz w:val="32"/>
          <w:szCs w:val="32"/>
        </w:rPr>
        <w:t>可再生能源发电项目信息管理平台及时填报项目信息</w:t>
      </w:r>
      <w:r>
        <w:rPr>
          <w:rFonts w:hint="eastAsia" w:eastAsia="仿宋_GB2312"/>
          <w:sz w:val="32"/>
          <w:szCs w:val="32"/>
        </w:rPr>
        <w:t>，除项目基本信息外，还应包括项目土地使用及税费等降低非技术成本政策落实的承诺或说明、电力送出和消纳的意见</w:t>
      </w:r>
      <w:r>
        <w:rPr>
          <w:rFonts w:eastAsia="仿宋_GB2312"/>
          <w:sz w:val="32"/>
          <w:szCs w:val="32"/>
        </w:rPr>
        <w:t>。对于因相关信息填报错误、填报不及时导致不能纳入补贴目录及获得电价附加补贴的，由项目单位自行承担相关责任。</w:t>
      </w:r>
    </w:p>
    <w:p>
      <w:pPr>
        <w:widowControl/>
        <w:ind w:firstLine="0" w:firstLineChars="0"/>
        <w:jc w:val="left"/>
        <w:rPr>
          <w:szCs w:val="20"/>
        </w:rPr>
      </w:pPr>
    </w:p>
    <w:p>
      <w:pPr>
        <w:ind w:firstLine="640"/>
        <w:rPr>
          <w:rFonts w:eastAsia="仿宋_GB2312"/>
          <w:sz w:val="32"/>
          <w:szCs w:val="32"/>
        </w:rPr>
      </w:pPr>
      <w:r>
        <w:rPr>
          <w:rFonts w:eastAsia="仿宋_GB2312"/>
          <w:sz w:val="32"/>
          <w:szCs w:val="32"/>
        </w:rPr>
        <w:t>附件：风电项目竞争配置指导方案（2019年版）</w:t>
      </w:r>
    </w:p>
    <w:p>
      <w:pPr>
        <w:ind w:firstLine="640"/>
        <w:rPr>
          <w:rFonts w:eastAsia="仿宋_GB2312"/>
          <w:sz w:val="32"/>
          <w:szCs w:val="32"/>
        </w:rPr>
      </w:pPr>
    </w:p>
    <w:p>
      <w:pPr>
        <w:textAlignment w:val="auto"/>
        <w:rPr>
          <w:rFonts w:eastAsia="黑体"/>
          <w:sz w:val="32"/>
          <w:szCs w:val="21"/>
        </w:rPr>
      </w:pPr>
      <w:r>
        <w:rPr>
          <w:rFonts w:hint="eastAsia" w:eastAsia="黑体"/>
          <w:sz w:val="32"/>
          <w:szCs w:val="21"/>
        </w:rPr>
        <w:t>附件</w:t>
      </w:r>
    </w:p>
    <w:p>
      <w:pPr>
        <w:jc w:val="center"/>
        <w:rPr>
          <w:color w:val="FF0000"/>
        </w:rPr>
      </w:pPr>
    </w:p>
    <w:p>
      <w:pPr>
        <w:pStyle w:val="7"/>
        <w:rPr>
          <w:sz w:val="40"/>
          <w:szCs w:val="40"/>
        </w:rPr>
      </w:pPr>
      <w:r>
        <w:rPr>
          <w:rFonts w:hint="eastAsia"/>
          <w:bCs w:val="0"/>
          <w:sz w:val="40"/>
          <w:szCs w:val="40"/>
        </w:rPr>
        <w:t>风电项目竞争配置指导方案（</w:t>
      </w:r>
      <w:r>
        <w:rPr>
          <w:bCs w:val="0"/>
          <w:sz w:val="40"/>
          <w:szCs w:val="40"/>
        </w:rPr>
        <w:t>2019</w:t>
      </w:r>
      <w:r>
        <w:rPr>
          <w:rFonts w:hint="eastAsia"/>
          <w:bCs w:val="0"/>
          <w:sz w:val="40"/>
          <w:szCs w:val="40"/>
        </w:rPr>
        <w:t>年版）</w:t>
      </w:r>
    </w:p>
    <w:p>
      <w:pPr>
        <w:ind w:firstLine="640" w:firstLineChars="200"/>
        <w:jc w:val="left"/>
        <w:textAlignment w:val="auto"/>
        <w:rPr>
          <w:rFonts w:eastAsia="仿宋_GB2312"/>
          <w:sz w:val="32"/>
          <w:szCs w:val="32"/>
        </w:rPr>
      </w:pPr>
    </w:p>
    <w:p>
      <w:pPr>
        <w:ind w:firstLine="640" w:firstLineChars="200"/>
        <w:jc w:val="left"/>
        <w:textAlignment w:val="auto"/>
        <w:rPr>
          <w:rFonts w:eastAsia="仿宋_GB2312"/>
          <w:sz w:val="32"/>
          <w:szCs w:val="32"/>
        </w:rPr>
      </w:pPr>
      <w:r>
        <w:rPr>
          <w:rFonts w:hint="eastAsia" w:eastAsia="仿宋_GB2312"/>
          <w:sz w:val="32"/>
          <w:szCs w:val="32"/>
        </w:rPr>
        <w:t>为促进风电有序规范建设，加快风电技术进步、产业升级和市场化发展，按照市场在资源配置中发挥决定性作用和更好发挥政府作用的总要求，对集中式陆上风电项目和海上风电项目通过竞争配置方式组织建设。</w:t>
      </w:r>
    </w:p>
    <w:p>
      <w:pPr>
        <w:ind w:firstLine="640" w:firstLineChars="200"/>
        <w:jc w:val="left"/>
        <w:textAlignment w:val="auto"/>
        <w:rPr>
          <w:rFonts w:eastAsia="黑体"/>
          <w:sz w:val="32"/>
          <w:szCs w:val="32"/>
        </w:rPr>
      </w:pPr>
      <w:r>
        <w:rPr>
          <w:rFonts w:hint="eastAsia" w:hAnsi="黑体" w:eastAsia="黑体"/>
          <w:sz w:val="32"/>
          <w:szCs w:val="32"/>
        </w:rPr>
        <w:t>一、基本原则</w:t>
      </w:r>
    </w:p>
    <w:p>
      <w:pPr>
        <w:adjustRightInd w:val="0"/>
        <w:snapToGrid w:val="0"/>
        <w:ind w:firstLine="640" w:firstLineChars="200"/>
        <w:textAlignment w:val="auto"/>
        <w:outlineLvl w:val="1"/>
        <w:rPr>
          <w:rFonts w:eastAsia="仿宋_GB2312"/>
          <w:sz w:val="32"/>
          <w:szCs w:val="32"/>
        </w:rPr>
      </w:pPr>
      <w:r>
        <w:rPr>
          <w:rFonts w:hint="eastAsia" w:eastAsia="楷体_GB2312"/>
          <w:sz w:val="32"/>
          <w:szCs w:val="32"/>
        </w:rPr>
        <w:t>（一）规划总量控制。</w:t>
      </w:r>
      <w:r>
        <w:rPr>
          <w:rFonts w:hint="eastAsia" w:eastAsia="仿宋_GB2312"/>
          <w:sz w:val="32"/>
          <w:szCs w:val="32"/>
        </w:rPr>
        <w:t>各省级能源主管部门要严格按照国务院能源主管部门批复的有关规划和《国家能源局关于可再生能源发展“十三五”规划实施的指导意见》的管理要求，有序规范组织建设。各沿海省（区、市）应根据海上风电规划，合理确定</w:t>
      </w:r>
      <w:r>
        <w:rPr>
          <w:rFonts w:eastAsia="仿宋_GB2312"/>
          <w:sz w:val="32"/>
          <w:szCs w:val="32"/>
        </w:rPr>
        <w:t>2019</w:t>
      </w:r>
      <w:r>
        <w:rPr>
          <w:rFonts w:hint="eastAsia" w:eastAsia="仿宋_GB2312"/>
          <w:sz w:val="32"/>
          <w:szCs w:val="32"/>
        </w:rPr>
        <w:t>年度海上风电配置规模。</w:t>
      </w:r>
    </w:p>
    <w:p>
      <w:pPr>
        <w:adjustRightInd w:val="0"/>
        <w:snapToGrid w:val="0"/>
        <w:ind w:firstLine="640" w:firstLineChars="200"/>
        <w:textAlignment w:val="auto"/>
        <w:outlineLvl w:val="1"/>
        <w:rPr>
          <w:rFonts w:eastAsia="仿宋_GB2312"/>
          <w:sz w:val="32"/>
          <w:szCs w:val="32"/>
        </w:rPr>
      </w:pPr>
      <w:r>
        <w:rPr>
          <w:rFonts w:hint="eastAsia" w:eastAsia="楷体_GB2312"/>
          <w:sz w:val="32"/>
          <w:szCs w:val="32"/>
        </w:rPr>
        <w:t>（二）公开竞争优选。</w:t>
      </w:r>
      <w:r>
        <w:rPr>
          <w:rFonts w:hint="eastAsia" w:eastAsia="仿宋_GB2312"/>
          <w:sz w:val="32"/>
          <w:szCs w:val="32"/>
        </w:rPr>
        <w:t>各省级能源主管部门要制定风电项目竞争配置办法，公开竞争配置条件和流程，按照公开公平公正的原则进行项目及投资主体优选。</w:t>
      </w:r>
    </w:p>
    <w:p>
      <w:pPr>
        <w:adjustRightInd w:val="0"/>
        <w:snapToGrid w:val="0"/>
        <w:ind w:firstLine="640" w:firstLineChars="200"/>
        <w:textAlignment w:val="auto"/>
        <w:outlineLvl w:val="1"/>
        <w:rPr>
          <w:rFonts w:eastAsia="仿宋_GB2312"/>
          <w:sz w:val="32"/>
          <w:szCs w:val="32"/>
        </w:rPr>
      </w:pPr>
      <w:r>
        <w:rPr>
          <w:rFonts w:hint="eastAsia" w:eastAsia="楷体_GB2312"/>
          <w:sz w:val="32"/>
          <w:szCs w:val="32"/>
        </w:rPr>
        <w:t>（三）接入消纳保障。</w:t>
      </w:r>
      <w:r>
        <w:rPr>
          <w:rFonts w:hint="eastAsia" w:eastAsia="仿宋_GB2312"/>
          <w:sz w:val="32"/>
          <w:szCs w:val="32"/>
        </w:rPr>
        <w:t>所有参与竞争配置的项目必须以电网企业投资建设接网及配套电网工程和落实消纳为前提条件，确保项目建成后达到最低保障收购年利用小时数（或弃风率不超过</w:t>
      </w:r>
      <w:r>
        <w:rPr>
          <w:rFonts w:eastAsia="仿宋_GB2312"/>
          <w:sz w:val="32"/>
          <w:szCs w:val="32"/>
        </w:rPr>
        <w:t>5%</w:t>
      </w:r>
      <w:r>
        <w:rPr>
          <w:rFonts w:hint="eastAsia" w:eastAsia="仿宋_GB2312"/>
          <w:sz w:val="32"/>
          <w:szCs w:val="32"/>
        </w:rPr>
        <w:t>）。电网企业优先消纳支持政策承诺应向社会公布，接受社会监督。</w:t>
      </w:r>
    </w:p>
    <w:p>
      <w:pPr>
        <w:adjustRightInd w:val="0"/>
        <w:snapToGrid w:val="0"/>
        <w:ind w:firstLine="640" w:firstLineChars="200"/>
        <w:textAlignment w:val="auto"/>
        <w:outlineLvl w:val="1"/>
        <w:rPr>
          <w:rFonts w:eastAsia="仿宋_GB2312"/>
          <w:sz w:val="32"/>
          <w:szCs w:val="32"/>
        </w:rPr>
      </w:pPr>
      <w:r>
        <w:rPr>
          <w:rFonts w:hint="eastAsia" w:eastAsia="楷体_GB2312"/>
          <w:sz w:val="32"/>
          <w:szCs w:val="32"/>
        </w:rPr>
        <w:t>（四）电价竞争确定。</w:t>
      </w:r>
      <w:r>
        <w:rPr>
          <w:rFonts w:eastAsia="仿宋_GB2312"/>
          <w:sz w:val="32"/>
          <w:szCs w:val="32"/>
        </w:rPr>
        <w:t>2019</w:t>
      </w:r>
      <w:r>
        <w:rPr>
          <w:rFonts w:hint="eastAsia" w:eastAsia="仿宋_GB2312"/>
          <w:sz w:val="32"/>
          <w:szCs w:val="32"/>
        </w:rPr>
        <w:t>年度新增集中式陆上风电和海上风电项目全部通过竞争方式配置并确定上网电价，各项目申报的上网电价不得高于国家规定的同类资源区标杆上网电价。已核准的陆上风电项目两年内未投产并网的，需按照并网年份标杆价格上限重新参与市场竞价。各级地方政府部门不得干预项目单位报价。</w:t>
      </w:r>
    </w:p>
    <w:p>
      <w:pPr>
        <w:adjustRightInd w:val="0"/>
        <w:snapToGrid w:val="0"/>
        <w:ind w:firstLine="640" w:firstLineChars="200"/>
        <w:textAlignment w:val="auto"/>
        <w:outlineLvl w:val="1"/>
        <w:rPr>
          <w:rFonts w:eastAsia="仿宋_GB2312"/>
          <w:sz w:val="32"/>
          <w:szCs w:val="32"/>
        </w:rPr>
      </w:pPr>
      <w:r>
        <w:rPr>
          <w:rFonts w:hint="eastAsia" w:eastAsia="楷体_GB2312"/>
          <w:sz w:val="32"/>
          <w:szCs w:val="32"/>
        </w:rPr>
        <w:t>（五）优化投资环境。</w:t>
      </w:r>
      <w:r>
        <w:rPr>
          <w:rFonts w:hint="eastAsia" w:eastAsia="仿宋_GB2312"/>
          <w:sz w:val="32"/>
          <w:szCs w:val="32"/>
        </w:rPr>
        <w:t>省级能源主管部门要指导市（县）级政府优化投资环境。地方政府不得以资源出让、企业援建和捐赠等名义变相向企业收费，增加项目投资经营成本。地方政府优惠政策承诺应向社会公布，接受社会监督。</w:t>
      </w:r>
    </w:p>
    <w:p>
      <w:pPr>
        <w:ind w:firstLine="640" w:firstLineChars="200"/>
        <w:jc w:val="left"/>
        <w:textAlignment w:val="auto"/>
        <w:rPr>
          <w:rFonts w:eastAsia="黑体"/>
          <w:sz w:val="32"/>
          <w:szCs w:val="32"/>
        </w:rPr>
      </w:pPr>
      <w:r>
        <w:rPr>
          <w:rFonts w:hint="eastAsia" w:hAnsi="黑体" w:eastAsia="黑体"/>
          <w:sz w:val="32"/>
          <w:szCs w:val="32"/>
        </w:rPr>
        <w:t>二、竞争要素</w:t>
      </w:r>
    </w:p>
    <w:p>
      <w:pPr>
        <w:adjustRightInd w:val="0"/>
        <w:snapToGrid w:val="0"/>
        <w:ind w:firstLine="640" w:firstLineChars="200"/>
        <w:textAlignment w:val="auto"/>
        <w:outlineLvl w:val="1"/>
        <w:rPr>
          <w:rFonts w:eastAsia="仿宋_GB2312"/>
          <w:sz w:val="32"/>
          <w:szCs w:val="32"/>
        </w:rPr>
      </w:pPr>
      <w:r>
        <w:rPr>
          <w:rFonts w:hint="eastAsia" w:eastAsia="仿宋_GB2312"/>
          <w:sz w:val="32"/>
          <w:szCs w:val="32"/>
        </w:rPr>
        <w:t>各省级能源主管部门制定的竞争配置办法应包含项目方案及技术先进性、前期工作深度、上网电价等竞争要素。应将上网电价作为重要竞争条件，所需补贴强度低的项目优先列入年度建设方案。</w:t>
      </w:r>
    </w:p>
    <w:p>
      <w:pPr>
        <w:adjustRightInd w:val="0"/>
        <w:snapToGrid w:val="0"/>
        <w:ind w:firstLine="640" w:firstLineChars="200"/>
        <w:textAlignment w:val="auto"/>
        <w:outlineLvl w:val="1"/>
        <w:rPr>
          <w:rFonts w:eastAsia="楷体_GB2312"/>
          <w:sz w:val="32"/>
          <w:szCs w:val="32"/>
        </w:rPr>
      </w:pPr>
      <w:r>
        <w:rPr>
          <w:rFonts w:hint="eastAsia" w:eastAsia="楷体_GB2312"/>
          <w:sz w:val="32"/>
          <w:szCs w:val="32"/>
        </w:rPr>
        <w:t>（一）已确定投资主体项目的竞争要素</w:t>
      </w:r>
    </w:p>
    <w:p>
      <w:pPr>
        <w:adjustRightInd w:val="0"/>
        <w:snapToGrid w:val="0"/>
        <w:ind w:firstLine="640" w:firstLineChars="200"/>
        <w:textAlignment w:val="auto"/>
        <w:outlineLvl w:val="1"/>
        <w:rPr>
          <w:rFonts w:eastAsia="仿宋_GB2312"/>
          <w:sz w:val="32"/>
          <w:szCs w:val="32"/>
        </w:rPr>
      </w:pPr>
      <w:r>
        <w:rPr>
          <w:rFonts w:eastAsia="仿宋_GB2312"/>
          <w:sz w:val="32"/>
          <w:szCs w:val="32"/>
        </w:rPr>
        <w:t>1.</w:t>
      </w:r>
      <w:r>
        <w:rPr>
          <w:rFonts w:hint="eastAsia" w:eastAsia="仿宋_GB2312"/>
          <w:sz w:val="32"/>
          <w:szCs w:val="32"/>
        </w:rPr>
        <w:t xml:space="preserve"> 企业能力。包括投资能力、业绩、技术能力、企业诚信履约情况评价。</w:t>
      </w:r>
    </w:p>
    <w:p>
      <w:pPr>
        <w:adjustRightInd w:val="0"/>
        <w:snapToGrid w:val="0"/>
        <w:ind w:firstLine="640" w:firstLineChars="200"/>
        <w:textAlignment w:val="auto"/>
        <w:outlineLvl w:val="1"/>
        <w:rPr>
          <w:rFonts w:eastAsia="仿宋_GB2312"/>
          <w:sz w:val="32"/>
          <w:szCs w:val="32"/>
        </w:rPr>
      </w:pPr>
      <w:r>
        <w:rPr>
          <w:rFonts w:eastAsia="仿宋_GB2312"/>
          <w:sz w:val="32"/>
          <w:szCs w:val="32"/>
        </w:rPr>
        <w:t>2.</w:t>
      </w:r>
      <w:r>
        <w:rPr>
          <w:rFonts w:hint="eastAsia" w:eastAsia="仿宋_GB2312"/>
          <w:sz w:val="32"/>
          <w:szCs w:val="32"/>
        </w:rPr>
        <w:t xml:space="preserve"> 设备先进性。包括风电机组选型、风能利用系数、动态功率曲线保障、风电机组认证情况。</w:t>
      </w:r>
    </w:p>
    <w:p>
      <w:pPr>
        <w:adjustRightInd w:val="0"/>
        <w:snapToGrid w:val="0"/>
        <w:ind w:firstLine="640" w:firstLineChars="200"/>
        <w:textAlignment w:val="auto"/>
        <w:outlineLvl w:val="1"/>
        <w:rPr>
          <w:rFonts w:eastAsia="仿宋_GB2312"/>
          <w:sz w:val="32"/>
          <w:szCs w:val="32"/>
        </w:rPr>
      </w:pPr>
      <w:r>
        <w:rPr>
          <w:rFonts w:eastAsia="仿宋_GB2312"/>
          <w:sz w:val="32"/>
          <w:szCs w:val="32"/>
        </w:rPr>
        <w:t>3.</w:t>
      </w:r>
      <w:r>
        <w:rPr>
          <w:rFonts w:hint="eastAsia" w:eastAsia="仿宋_GB2312"/>
          <w:sz w:val="32"/>
          <w:szCs w:val="32"/>
        </w:rPr>
        <w:t xml:space="preserve"> 技术方案。包括充分利用资源条件、优化技术方案、利用小时测算、智能化控制运行维护、退役及拆除方案、经济合理性等。</w:t>
      </w:r>
    </w:p>
    <w:p>
      <w:pPr>
        <w:adjustRightInd w:val="0"/>
        <w:snapToGrid w:val="0"/>
        <w:ind w:firstLine="640" w:firstLineChars="200"/>
        <w:textAlignment w:val="auto"/>
        <w:outlineLvl w:val="1"/>
        <w:rPr>
          <w:rFonts w:eastAsia="仿宋_GB2312"/>
          <w:sz w:val="32"/>
          <w:szCs w:val="32"/>
        </w:rPr>
      </w:pPr>
      <w:r>
        <w:rPr>
          <w:rFonts w:eastAsia="仿宋_GB2312"/>
          <w:sz w:val="32"/>
          <w:szCs w:val="32"/>
        </w:rPr>
        <w:t>4.</w:t>
      </w:r>
      <w:r>
        <w:rPr>
          <w:rFonts w:hint="eastAsia" w:eastAsia="仿宋_GB2312"/>
          <w:sz w:val="32"/>
          <w:szCs w:val="32"/>
        </w:rPr>
        <w:t xml:space="preserve"> 已开展前期工作。包括项目总体规划、测风及风能资源评估、可行性研究设计、已取得的支持性文件等。</w:t>
      </w:r>
    </w:p>
    <w:p>
      <w:pPr>
        <w:adjustRightInd w:val="0"/>
        <w:snapToGrid w:val="0"/>
        <w:ind w:firstLine="640" w:firstLineChars="200"/>
        <w:textAlignment w:val="auto"/>
        <w:outlineLvl w:val="1"/>
        <w:rPr>
          <w:rFonts w:eastAsia="仿宋_GB2312"/>
          <w:sz w:val="32"/>
          <w:szCs w:val="32"/>
        </w:rPr>
      </w:pPr>
      <w:r>
        <w:rPr>
          <w:rFonts w:eastAsia="仿宋_GB2312"/>
          <w:sz w:val="32"/>
          <w:szCs w:val="32"/>
        </w:rPr>
        <w:t>5.</w:t>
      </w:r>
      <w:r>
        <w:rPr>
          <w:rFonts w:hint="eastAsia" w:eastAsia="仿宋_GB2312"/>
          <w:sz w:val="32"/>
          <w:szCs w:val="32"/>
        </w:rPr>
        <w:t xml:space="preserve"> 接入消纳条件。委托电网企业开展接入系统和消纳能力分析结果。</w:t>
      </w:r>
    </w:p>
    <w:p>
      <w:pPr>
        <w:adjustRightInd w:val="0"/>
        <w:snapToGrid w:val="0"/>
        <w:ind w:firstLine="640" w:firstLineChars="200"/>
        <w:textAlignment w:val="auto"/>
        <w:outlineLvl w:val="1"/>
        <w:rPr>
          <w:rFonts w:eastAsia="仿宋_GB2312"/>
          <w:sz w:val="32"/>
          <w:szCs w:val="32"/>
        </w:rPr>
      </w:pPr>
      <w:r>
        <w:rPr>
          <w:rFonts w:eastAsia="仿宋_GB2312"/>
          <w:sz w:val="32"/>
          <w:szCs w:val="32"/>
        </w:rPr>
        <w:t>6.</w:t>
      </w:r>
      <w:r>
        <w:rPr>
          <w:rFonts w:hint="eastAsia" w:eastAsia="仿宋_GB2312"/>
          <w:sz w:val="32"/>
          <w:szCs w:val="32"/>
        </w:rPr>
        <w:t xml:space="preserve"> 申报电价。测算提出合理收益条件下的</w:t>
      </w:r>
      <w:r>
        <w:rPr>
          <w:rFonts w:eastAsia="仿宋_GB2312"/>
          <w:sz w:val="32"/>
          <w:szCs w:val="32"/>
        </w:rPr>
        <w:t>20</w:t>
      </w:r>
      <w:r>
        <w:rPr>
          <w:rFonts w:hint="eastAsia" w:eastAsia="仿宋_GB2312"/>
          <w:sz w:val="32"/>
          <w:szCs w:val="32"/>
        </w:rPr>
        <w:t>年固定上网电价。若考虑与全额保障性收购办法衔接，可要求按照最低保障性小时数报价，超出部分市场定价，按最低保障性小时数内电价评分。</w:t>
      </w:r>
    </w:p>
    <w:p>
      <w:pPr>
        <w:adjustRightInd w:val="0"/>
        <w:snapToGrid w:val="0"/>
        <w:ind w:firstLine="640" w:firstLineChars="200"/>
        <w:textAlignment w:val="auto"/>
        <w:outlineLvl w:val="1"/>
        <w:rPr>
          <w:rFonts w:eastAsia="仿宋_GB2312"/>
          <w:sz w:val="32"/>
          <w:szCs w:val="32"/>
        </w:rPr>
      </w:pPr>
      <w:r>
        <w:rPr>
          <w:rFonts w:hint="eastAsia" w:eastAsia="仿宋_GB2312"/>
          <w:sz w:val="32"/>
          <w:szCs w:val="32"/>
        </w:rPr>
        <w:t>各省级能源主管部门可参照表1自行制定竞争配置评分细则，但不应设置或变相设置有违市场公平的条款。可采取综合评分法，其中电价权重不得低于40%。也可采取先技术评选，再电价比选的方式，按电价由低到高排序分配完为止。</w:t>
      </w:r>
    </w:p>
    <w:p>
      <w:pPr>
        <w:spacing w:line="240" w:lineRule="auto"/>
        <w:jc w:val="center"/>
        <w:textAlignment w:val="auto"/>
        <w:rPr>
          <w:szCs w:val="30"/>
        </w:rPr>
      </w:pPr>
    </w:p>
    <w:p>
      <w:pPr>
        <w:spacing w:line="240" w:lineRule="auto"/>
        <w:jc w:val="center"/>
        <w:textAlignment w:val="auto"/>
        <w:rPr>
          <w:rFonts w:eastAsia="仿宋_GB2312"/>
          <w:szCs w:val="30"/>
        </w:rPr>
      </w:pPr>
      <w:r>
        <w:rPr>
          <w:rFonts w:hint="eastAsia" w:eastAsia="仿宋_GB2312"/>
          <w:szCs w:val="30"/>
        </w:rPr>
        <w:t>表1</w:t>
      </w:r>
      <w:r>
        <w:rPr>
          <w:rFonts w:eastAsia="仿宋_GB2312"/>
          <w:szCs w:val="30"/>
        </w:rPr>
        <w:t xml:space="preserve"> </w:t>
      </w:r>
      <w:r>
        <w:rPr>
          <w:rFonts w:hint="eastAsia" w:eastAsia="仿宋_GB2312"/>
          <w:szCs w:val="30"/>
        </w:rPr>
        <w:t>已确定投资主体风电项目参考评分标准</w:t>
      </w:r>
    </w:p>
    <w:tbl>
      <w:tblPr>
        <w:tblW w:w="88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0"/>
        <w:gridCol w:w="1130"/>
        <w:gridCol w:w="1129"/>
        <w:gridCol w:w="1129"/>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5" w:hRule="atLeast"/>
        </w:trPr>
        <w:tc>
          <w:tcPr>
            <w:tcW w:w="1130"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序号</w:t>
            </w:r>
          </w:p>
        </w:tc>
        <w:tc>
          <w:tcPr>
            <w:tcW w:w="1130"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项目</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内容</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分值</w:t>
            </w:r>
          </w:p>
        </w:tc>
        <w:tc>
          <w:tcPr>
            <w:tcW w:w="4372"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评分内容参考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15" w:hRule="atLeast"/>
        </w:trPr>
        <w:tc>
          <w:tcPr>
            <w:tcW w:w="1130" w:type="dxa"/>
            <w:vMerge w:val="restart"/>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1</w:t>
            </w:r>
          </w:p>
        </w:tc>
        <w:tc>
          <w:tcPr>
            <w:tcW w:w="1130" w:type="dxa"/>
            <w:vMerge w:val="restart"/>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企业能力（</w:t>
            </w:r>
            <w:r>
              <w:rPr>
                <w:rFonts w:eastAsia="仿宋_GB2312"/>
                <w:color w:val="000000"/>
                <w:kern w:val="0"/>
                <w:sz w:val="28"/>
                <w:szCs w:val="28"/>
              </w:rPr>
              <w:t>20</w:t>
            </w:r>
            <w:r>
              <w:rPr>
                <w:rFonts w:hint="eastAsia" w:eastAsia="仿宋_GB2312"/>
                <w:color w:val="000000"/>
                <w:kern w:val="0"/>
                <w:sz w:val="28"/>
                <w:szCs w:val="28"/>
              </w:rPr>
              <w:t>）</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投资能力</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10</w:t>
            </w:r>
          </w:p>
        </w:tc>
        <w:tc>
          <w:tcPr>
            <w:tcW w:w="4372" w:type="dxa"/>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申报项目资本金比例，投资企业总资产、净资产等。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9" w:hRule="atLeast"/>
        </w:trPr>
        <w:tc>
          <w:tcPr>
            <w:tcW w:w="1130" w:type="dxa"/>
            <w:vMerge w:val="continue"/>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130" w:type="dxa"/>
            <w:vMerge w:val="continue"/>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业绩</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6</w:t>
            </w:r>
          </w:p>
        </w:tc>
        <w:tc>
          <w:tcPr>
            <w:tcW w:w="4372" w:type="dxa"/>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原则上仅考虑国内风电并网业绩。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3" w:hRule="atLeast"/>
        </w:trPr>
        <w:tc>
          <w:tcPr>
            <w:tcW w:w="1130" w:type="dxa"/>
            <w:vMerge w:val="continue"/>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130" w:type="dxa"/>
            <w:vMerge w:val="continue"/>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技术管理能力</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2</w:t>
            </w:r>
          </w:p>
        </w:tc>
        <w:tc>
          <w:tcPr>
            <w:tcW w:w="4372" w:type="dxa"/>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企业技术创新能力，已运行风电项目资产负债率、利润率等。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9" w:hRule="atLeast"/>
        </w:trPr>
        <w:tc>
          <w:tcPr>
            <w:tcW w:w="1130" w:type="dxa"/>
            <w:vMerge w:val="continue"/>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130" w:type="dxa"/>
            <w:vMerge w:val="continue"/>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履约评价</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2</w:t>
            </w:r>
          </w:p>
        </w:tc>
        <w:tc>
          <w:tcPr>
            <w:tcW w:w="4372" w:type="dxa"/>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近三年或正在实施项目的履约情况，社会信誉情况。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trPr>
        <w:tc>
          <w:tcPr>
            <w:tcW w:w="1130" w:type="dxa"/>
            <w:vMerge w:val="restart"/>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2</w:t>
            </w:r>
          </w:p>
        </w:tc>
        <w:tc>
          <w:tcPr>
            <w:tcW w:w="1130" w:type="dxa"/>
            <w:vMerge w:val="restart"/>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设备先进性</w:t>
            </w:r>
          </w:p>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w:t>
            </w:r>
            <w:r>
              <w:rPr>
                <w:rFonts w:eastAsia="仿宋_GB2312"/>
                <w:color w:val="000000"/>
                <w:kern w:val="0"/>
                <w:sz w:val="28"/>
                <w:szCs w:val="28"/>
              </w:rPr>
              <w:t>5</w:t>
            </w:r>
            <w:r>
              <w:rPr>
                <w:rFonts w:hint="eastAsia" w:eastAsia="仿宋_GB2312"/>
                <w:color w:val="000000"/>
                <w:kern w:val="0"/>
                <w:sz w:val="28"/>
                <w:szCs w:val="28"/>
              </w:rPr>
              <w:t>）</w:t>
            </w:r>
          </w:p>
        </w:tc>
        <w:tc>
          <w:tcPr>
            <w:tcW w:w="1129" w:type="dxa"/>
            <w:vMerge w:val="restart"/>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重点设备先进性</w:t>
            </w:r>
          </w:p>
        </w:tc>
        <w:tc>
          <w:tcPr>
            <w:tcW w:w="1129" w:type="dxa"/>
            <w:vMerge w:val="restart"/>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5</w:t>
            </w:r>
          </w:p>
        </w:tc>
        <w:tc>
          <w:tcPr>
            <w:tcW w:w="4372" w:type="dxa"/>
            <w:vMerge w:val="restart"/>
            <w:vAlign w:val="center"/>
          </w:tcPr>
          <w:p>
            <w:pPr>
              <w:widowControl/>
              <w:adjustRightInd w:val="0"/>
              <w:snapToGrid w:val="0"/>
              <w:spacing w:line="240" w:lineRule="auto"/>
              <w:textAlignment w:val="auto"/>
              <w:rPr>
                <w:rFonts w:eastAsia="仿宋_GB2312"/>
                <w:color w:val="000000"/>
                <w:kern w:val="0"/>
                <w:sz w:val="28"/>
                <w:szCs w:val="28"/>
              </w:rPr>
            </w:pPr>
            <w:r>
              <w:rPr>
                <w:rFonts w:hint="eastAsia" w:eastAsia="仿宋_GB2312"/>
                <w:color w:val="000000"/>
                <w:kern w:val="0"/>
                <w:sz w:val="28"/>
                <w:szCs w:val="28"/>
              </w:rPr>
              <w:t>风电机组单机容量，风电机组整机认证情况，风电机组风能利用系数、动态功率曲线保证承诺等。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2" w:hRule="atLeast"/>
        </w:trPr>
        <w:tc>
          <w:tcPr>
            <w:tcW w:w="1130" w:type="dxa"/>
            <w:vMerge w:val="continue"/>
            <w:vAlign w:val="center"/>
          </w:tcPr>
          <w:p>
            <w:pPr>
              <w:keepNext/>
              <w:keepLines/>
              <w:widowControl/>
              <w:adjustRightInd w:val="0"/>
              <w:snapToGrid w:val="0"/>
              <w:spacing w:line="240" w:lineRule="auto"/>
              <w:jc w:val="left"/>
              <w:textAlignment w:val="auto"/>
              <w:outlineLvl w:val="2"/>
              <w:rPr>
                <w:rFonts w:eastAsia="仿宋_GB2312"/>
                <w:color w:val="000000"/>
                <w:kern w:val="0"/>
                <w:sz w:val="28"/>
                <w:szCs w:val="28"/>
              </w:rPr>
            </w:pPr>
          </w:p>
        </w:tc>
        <w:tc>
          <w:tcPr>
            <w:tcW w:w="1130" w:type="dxa"/>
            <w:vMerge w:val="continue"/>
            <w:vAlign w:val="center"/>
          </w:tcPr>
          <w:p>
            <w:pPr>
              <w:keepNext/>
              <w:keepLines/>
              <w:widowControl/>
              <w:adjustRightInd w:val="0"/>
              <w:snapToGrid w:val="0"/>
              <w:spacing w:line="240" w:lineRule="auto"/>
              <w:jc w:val="left"/>
              <w:textAlignment w:val="auto"/>
              <w:outlineLvl w:val="2"/>
              <w:rPr>
                <w:rFonts w:eastAsia="仿宋_GB2312"/>
                <w:color w:val="000000"/>
                <w:kern w:val="0"/>
                <w:sz w:val="28"/>
                <w:szCs w:val="28"/>
              </w:rPr>
            </w:pPr>
          </w:p>
        </w:tc>
        <w:tc>
          <w:tcPr>
            <w:tcW w:w="1129" w:type="dxa"/>
            <w:vMerge w:val="continue"/>
            <w:vAlign w:val="center"/>
          </w:tcPr>
          <w:p>
            <w:pPr>
              <w:keepNext/>
              <w:keepLines/>
              <w:widowControl/>
              <w:adjustRightInd w:val="0"/>
              <w:snapToGrid w:val="0"/>
              <w:spacing w:line="240" w:lineRule="auto"/>
              <w:jc w:val="left"/>
              <w:textAlignment w:val="auto"/>
              <w:outlineLvl w:val="2"/>
              <w:rPr>
                <w:rFonts w:eastAsia="仿宋_GB2312"/>
                <w:color w:val="000000"/>
                <w:kern w:val="0"/>
                <w:sz w:val="28"/>
                <w:szCs w:val="28"/>
              </w:rPr>
            </w:pPr>
          </w:p>
        </w:tc>
        <w:tc>
          <w:tcPr>
            <w:tcW w:w="1129" w:type="dxa"/>
            <w:vMerge w:val="continue"/>
            <w:vAlign w:val="center"/>
          </w:tcPr>
          <w:p>
            <w:pPr>
              <w:keepNext/>
              <w:keepLines/>
              <w:widowControl/>
              <w:adjustRightInd w:val="0"/>
              <w:snapToGrid w:val="0"/>
              <w:spacing w:line="240" w:lineRule="auto"/>
              <w:jc w:val="left"/>
              <w:textAlignment w:val="auto"/>
              <w:outlineLvl w:val="2"/>
              <w:rPr>
                <w:rFonts w:eastAsia="仿宋_GB2312"/>
                <w:color w:val="000000"/>
                <w:kern w:val="0"/>
                <w:sz w:val="28"/>
                <w:szCs w:val="28"/>
              </w:rPr>
            </w:pPr>
          </w:p>
        </w:tc>
        <w:tc>
          <w:tcPr>
            <w:tcW w:w="4372" w:type="dxa"/>
            <w:vMerge w:val="continue"/>
            <w:vAlign w:val="center"/>
          </w:tcPr>
          <w:p>
            <w:pPr>
              <w:keepNext/>
              <w:keepLines/>
              <w:widowControl/>
              <w:adjustRightInd w:val="0"/>
              <w:snapToGrid w:val="0"/>
              <w:spacing w:line="240" w:lineRule="auto"/>
              <w:jc w:val="left"/>
              <w:textAlignment w:val="auto"/>
              <w:outlineLvl w:val="2"/>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0" w:hRule="atLeast"/>
        </w:trPr>
        <w:tc>
          <w:tcPr>
            <w:tcW w:w="1130"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3</w:t>
            </w:r>
          </w:p>
        </w:tc>
        <w:tc>
          <w:tcPr>
            <w:tcW w:w="1130"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技术方案（</w:t>
            </w:r>
            <w:r>
              <w:rPr>
                <w:rFonts w:eastAsia="仿宋_GB2312"/>
                <w:color w:val="000000"/>
                <w:kern w:val="0"/>
                <w:sz w:val="28"/>
                <w:szCs w:val="28"/>
              </w:rPr>
              <w:t>10</w:t>
            </w:r>
            <w:r>
              <w:rPr>
                <w:rFonts w:hint="eastAsia" w:eastAsia="仿宋_GB2312"/>
                <w:color w:val="000000"/>
                <w:kern w:val="0"/>
                <w:sz w:val="28"/>
                <w:szCs w:val="28"/>
              </w:rPr>
              <w:t>）</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项目技术方案评价</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10</w:t>
            </w:r>
          </w:p>
        </w:tc>
        <w:tc>
          <w:tcPr>
            <w:tcW w:w="4372" w:type="dxa"/>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风能资源高效利用，风电场智能化设计，退役及拆除方案，方案技术经济合理性。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25" w:hRule="atLeast"/>
        </w:trPr>
        <w:tc>
          <w:tcPr>
            <w:tcW w:w="1130"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4</w:t>
            </w:r>
          </w:p>
        </w:tc>
        <w:tc>
          <w:tcPr>
            <w:tcW w:w="1130"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已开展前期工作（</w:t>
            </w:r>
            <w:r>
              <w:rPr>
                <w:rFonts w:eastAsia="仿宋_GB2312"/>
                <w:color w:val="000000"/>
                <w:kern w:val="0"/>
                <w:sz w:val="28"/>
                <w:szCs w:val="28"/>
              </w:rPr>
              <w:t>15</w:t>
            </w:r>
            <w:r>
              <w:rPr>
                <w:rFonts w:hint="eastAsia" w:eastAsia="仿宋_GB2312"/>
                <w:color w:val="000000"/>
                <w:kern w:val="0"/>
                <w:sz w:val="28"/>
                <w:szCs w:val="28"/>
              </w:rPr>
              <w:t>）</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支持性文件和可行性研究设计</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15</w:t>
            </w:r>
          </w:p>
        </w:tc>
        <w:tc>
          <w:tcPr>
            <w:tcW w:w="4372" w:type="dxa"/>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前期测风及风资源评估情况，可行性研究设计报告，规划、土地、林业、环保、压矿、文物、军事等支持性文件，地方政府土地使用等优惠政策承诺函。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65" w:hRule="atLeast"/>
        </w:trPr>
        <w:tc>
          <w:tcPr>
            <w:tcW w:w="1130"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5</w:t>
            </w:r>
          </w:p>
        </w:tc>
        <w:tc>
          <w:tcPr>
            <w:tcW w:w="1130"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接入消纳条件（</w:t>
            </w:r>
            <w:r>
              <w:rPr>
                <w:rFonts w:eastAsia="仿宋_GB2312"/>
                <w:color w:val="000000"/>
                <w:kern w:val="0"/>
                <w:sz w:val="28"/>
                <w:szCs w:val="28"/>
              </w:rPr>
              <w:t>10</w:t>
            </w:r>
            <w:r>
              <w:rPr>
                <w:rFonts w:hint="eastAsia" w:eastAsia="仿宋_GB2312"/>
                <w:color w:val="000000"/>
                <w:kern w:val="0"/>
                <w:sz w:val="28"/>
                <w:szCs w:val="28"/>
              </w:rPr>
              <w:t>）</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开展接入消纳分析工作</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10</w:t>
            </w:r>
          </w:p>
        </w:tc>
        <w:tc>
          <w:tcPr>
            <w:tcW w:w="4372" w:type="dxa"/>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项目接入系统和消纳能力评估研究方案，电网关于电力送出工程建设及电力消纳保障的承诺函。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1130"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6</w:t>
            </w:r>
          </w:p>
        </w:tc>
        <w:tc>
          <w:tcPr>
            <w:tcW w:w="1130"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申报电价（</w:t>
            </w:r>
            <w:r>
              <w:rPr>
                <w:rFonts w:eastAsia="仿宋_GB2312"/>
                <w:color w:val="000000"/>
                <w:kern w:val="0"/>
                <w:sz w:val="28"/>
                <w:szCs w:val="28"/>
              </w:rPr>
              <w:t>40</w:t>
            </w:r>
            <w:r>
              <w:rPr>
                <w:rFonts w:hint="eastAsia" w:eastAsia="仿宋_GB2312"/>
                <w:color w:val="000000"/>
                <w:kern w:val="0"/>
                <w:sz w:val="28"/>
                <w:szCs w:val="28"/>
              </w:rPr>
              <w:t>）</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申报电价竞争力</w:t>
            </w:r>
          </w:p>
        </w:tc>
        <w:tc>
          <w:tcPr>
            <w:tcW w:w="1129" w:type="dxa"/>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40</w:t>
            </w:r>
          </w:p>
        </w:tc>
        <w:tc>
          <w:tcPr>
            <w:tcW w:w="4372" w:type="dxa"/>
            <w:vAlign w:val="center"/>
          </w:tcPr>
          <w:p>
            <w:pPr>
              <w:widowControl/>
              <w:adjustRightInd w:val="0"/>
              <w:snapToGrid w:val="0"/>
              <w:spacing w:line="240" w:lineRule="auto"/>
              <w:textAlignment w:val="auto"/>
              <w:rPr>
                <w:rFonts w:eastAsia="仿宋_GB2312"/>
                <w:color w:val="000000"/>
                <w:kern w:val="0"/>
                <w:sz w:val="28"/>
                <w:szCs w:val="28"/>
              </w:rPr>
            </w:pPr>
            <w:r>
              <w:rPr>
                <w:rFonts w:hint="eastAsia" w:eastAsia="仿宋_GB2312"/>
                <w:color w:val="000000"/>
                <w:kern w:val="0"/>
                <w:sz w:val="28"/>
                <w:szCs w:val="28"/>
              </w:rPr>
              <w:t>以所属风能资源区现行风电上网标杆电价作为最高限价，根据降价幅度科学评分。不得设置最低报价。</w:t>
            </w:r>
          </w:p>
        </w:tc>
      </w:tr>
    </w:tbl>
    <w:p>
      <w:pPr>
        <w:adjustRightInd w:val="0"/>
        <w:snapToGrid w:val="0"/>
        <w:ind w:firstLine="640" w:firstLineChars="200"/>
        <w:textAlignment w:val="auto"/>
        <w:outlineLvl w:val="1"/>
        <w:rPr>
          <w:rFonts w:eastAsia="楷体_GB2312"/>
          <w:sz w:val="32"/>
          <w:szCs w:val="32"/>
        </w:rPr>
      </w:pPr>
      <w:r>
        <w:rPr>
          <w:rFonts w:hint="eastAsia" w:eastAsia="楷体_GB2312"/>
          <w:sz w:val="32"/>
          <w:szCs w:val="32"/>
        </w:rPr>
        <w:t>（二）未确定投资主体项目的竞争要素</w:t>
      </w:r>
    </w:p>
    <w:p>
      <w:pPr>
        <w:adjustRightInd w:val="0"/>
        <w:snapToGrid w:val="0"/>
        <w:ind w:firstLine="640" w:firstLineChars="200"/>
        <w:textAlignment w:val="auto"/>
        <w:outlineLvl w:val="1"/>
        <w:rPr>
          <w:rFonts w:eastAsia="仿宋_GB2312"/>
          <w:sz w:val="32"/>
          <w:szCs w:val="32"/>
        </w:rPr>
      </w:pPr>
      <w:r>
        <w:rPr>
          <w:rFonts w:eastAsia="仿宋_GB2312"/>
          <w:sz w:val="32"/>
          <w:szCs w:val="32"/>
        </w:rPr>
        <w:t>1.</w:t>
      </w:r>
      <w:r>
        <w:rPr>
          <w:rFonts w:hint="eastAsia" w:eastAsia="仿宋_GB2312"/>
          <w:sz w:val="32"/>
          <w:szCs w:val="32"/>
        </w:rPr>
        <w:t xml:space="preserve"> 企业能力。包括投资能力、业绩、技术能力、企业诚信履约情况评价。</w:t>
      </w:r>
    </w:p>
    <w:p>
      <w:pPr>
        <w:adjustRightInd w:val="0"/>
        <w:snapToGrid w:val="0"/>
        <w:ind w:firstLine="640" w:firstLineChars="200"/>
        <w:textAlignment w:val="auto"/>
        <w:outlineLvl w:val="1"/>
        <w:rPr>
          <w:rFonts w:eastAsia="仿宋_GB2312"/>
          <w:sz w:val="32"/>
          <w:szCs w:val="32"/>
        </w:rPr>
      </w:pPr>
      <w:r>
        <w:rPr>
          <w:rFonts w:eastAsia="仿宋_GB2312"/>
          <w:sz w:val="32"/>
          <w:szCs w:val="32"/>
        </w:rPr>
        <w:t>2.</w:t>
      </w:r>
      <w:r>
        <w:rPr>
          <w:rFonts w:hint="eastAsia" w:eastAsia="仿宋_GB2312"/>
          <w:sz w:val="32"/>
          <w:szCs w:val="32"/>
        </w:rPr>
        <w:t xml:space="preserve"> 设备先进性。包括风电机组选型、风能利用系数、动态功率曲线保障、风电机组认证情况。</w:t>
      </w:r>
    </w:p>
    <w:p>
      <w:pPr>
        <w:adjustRightInd w:val="0"/>
        <w:snapToGrid w:val="0"/>
        <w:ind w:firstLine="640" w:firstLineChars="200"/>
        <w:textAlignment w:val="auto"/>
        <w:outlineLvl w:val="1"/>
        <w:rPr>
          <w:rFonts w:eastAsia="仿宋_GB2312"/>
          <w:sz w:val="32"/>
          <w:szCs w:val="32"/>
        </w:rPr>
      </w:pPr>
      <w:r>
        <w:rPr>
          <w:rFonts w:eastAsia="仿宋_GB2312"/>
          <w:sz w:val="32"/>
          <w:szCs w:val="32"/>
        </w:rPr>
        <w:t>3.</w:t>
      </w:r>
      <w:r>
        <w:rPr>
          <w:rFonts w:hint="eastAsia" w:eastAsia="仿宋_GB2312"/>
          <w:sz w:val="32"/>
          <w:szCs w:val="32"/>
        </w:rPr>
        <w:t xml:space="preserve"> 技术方案。包括充分利用资源条件、优化技术方案、利用小时测算、智能化控制运行维护、退役及拆除方案、经济合理性等。</w:t>
      </w:r>
    </w:p>
    <w:p>
      <w:pPr>
        <w:adjustRightInd w:val="0"/>
        <w:snapToGrid w:val="0"/>
        <w:ind w:firstLine="640" w:firstLineChars="200"/>
        <w:textAlignment w:val="auto"/>
        <w:outlineLvl w:val="1"/>
        <w:rPr>
          <w:rFonts w:eastAsia="仿宋_GB2312"/>
          <w:sz w:val="32"/>
          <w:szCs w:val="32"/>
        </w:rPr>
      </w:pPr>
      <w:r>
        <w:rPr>
          <w:rFonts w:eastAsia="仿宋_GB2312"/>
          <w:sz w:val="32"/>
          <w:szCs w:val="32"/>
        </w:rPr>
        <w:t>4.</w:t>
      </w:r>
      <w:r>
        <w:rPr>
          <w:rFonts w:hint="eastAsia" w:eastAsia="仿宋_GB2312"/>
          <w:sz w:val="32"/>
          <w:szCs w:val="32"/>
        </w:rPr>
        <w:t xml:space="preserve"> 申报电价。测算提出合理收益条件下的</w:t>
      </w:r>
      <w:r>
        <w:rPr>
          <w:rFonts w:eastAsia="仿宋_GB2312"/>
          <w:sz w:val="32"/>
          <w:szCs w:val="32"/>
        </w:rPr>
        <w:t>20</w:t>
      </w:r>
      <w:r>
        <w:rPr>
          <w:rFonts w:hint="eastAsia" w:eastAsia="仿宋_GB2312"/>
          <w:sz w:val="32"/>
          <w:szCs w:val="32"/>
        </w:rPr>
        <w:t>年固定上网电价。若考虑与全额保障性收购办法衔接，可要求按照最低保障性小时数报价，超出部分市场定价，按最低保障性小时数内电价评分。</w:t>
      </w:r>
    </w:p>
    <w:p>
      <w:pPr>
        <w:adjustRightInd w:val="0"/>
        <w:snapToGrid w:val="0"/>
        <w:ind w:firstLine="640" w:firstLineChars="200"/>
        <w:textAlignment w:val="auto"/>
        <w:outlineLvl w:val="1"/>
        <w:rPr>
          <w:rFonts w:eastAsia="仿宋_GB2312"/>
          <w:sz w:val="32"/>
          <w:szCs w:val="32"/>
        </w:rPr>
      </w:pPr>
      <w:r>
        <w:rPr>
          <w:rFonts w:hint="eastAsia" w:eastAsia="仿宋_GB2312"/>
          <w:sz w:val="32"/>
          <w:szCs w:val="32"/>
        </w:rPr>
        <w:t>各省级能源主管部门可参照表2自行制定竞争配置评分细则，但不应设置或变相设置有违市场公平的条款。原则上采取综合评分法，其中电价权重不得低于40%。</w:t>
      </w:r>
    </w:p>
    <w:p>
      <w:pPr>
        <w:adjustRightInd w:val="0"/>
        <w:snapToGrid w:val="0"/>
        <w:ind w:firstLine="600" w:firstLineChars="200"/>
        <w:textAlignment w:val="auto"/>
        <w:rPr>
          <w:szCs w:val="30"/>
        </w:rPr>
      </w:pPr>
    </w:p>
    <w:p>
      <w:pPr>
        <w:adjustRightInd w:val="0"/>
        <w:snapToGrid w:val="0"/>
        <w:jc w:val="center"/>
        <w:textAlignment w:val="auto"/>
        <w:rPr>
          <w:rFonts w:eastAsia="仿宋_GB2312"/>
          <w:szCs w:val="30"/>
        </w:rPr>
      </w:pPr>
      <w:r>
        <w:rPr>
          <w:rFonts w:hint="eastAsia" w:eastAsia="仿宋_GB2312"/>
          <w:szCs w:val="30"/>
        </w:rPr>
        <w:t>表2</w:t>
      </w:r>
      <w:r>
        <w:rPr>
          <w:rFonts w:eastAsia="仿宋_GB2312"/>
          <w:szCs w:val="30"/>
        </w:rPr>
        <w:t xml:space="preserve"> </w:t>
      </w:r>
      <w:r>
        <w:rPr>
          <w:rFonts w:hint="eastAsia" w:eastAsia="仿宋_GB2312"/>
          <w:szCs w:val="30"/>
        </w:rPr>
        <w:t>未确定投资主体风电项目参考评分标准</w:t>
      </w:r>
    </w:p>
    <w:tbl>
      <w:tblPr>
        <w:tblW w:w="8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02"/>
        <w:gridCol w:w="1056"/>
        <w:gridCol w:w="1067"/>
        <w:gridCol w:w="802"/>
        <w:gridCol w:w="5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80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序号</w:t>
            </w:r>
          </w:p>
        </w:tc>
        <w:tc>
          <w:tcPr>
            <w:tcW w:w="1056" w:type="dxa"/>
            <w:tcBorders>
              <w:top w:val="single" w:color="000000" w:sz="8" w:space="0"/>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项目</w:t>
            </w:r>
          </w:p>
        </w:tc>
        <w:tc>
          <w:tcPr>
            <w:tcW w:w="1067" w:type="dxa"/>
            <w:tcBorders>
              <w:top w:val="single" w:color="000000" w:sz="8" w:space="0"/>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内容</w:t>
            </w:r>
          </w:p>
        </w:tc>
        <w:tc>
          <w:tcPr>
            <w:tcW w:w="802" w:type="dxa"/>
            <w:tcBorders>
              <w:top w:val="single" w:color="000000" w:sz="8" w:space="0"/>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分值</w:t>
            </w:r>
          </w:p>
        </w:tc>
        <w:tc>
          <w:tcPr>
            <w:tcW w:w="5163" w:type="dxa"/>
            <w:tcBorders>
              <w:top w:val="single" w:color="000000" w:sz="8" w:space="0"/>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评分内容参考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9" w:hRule="atLeast"/>
        </w:trPr>
        <w:tc>
          <w:tcPr>
            <w:tcW w:w="802" w:type="dxa"/>
            <w:vMerge w:val="restart"/>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1</w:t>
            </w:r>
          </w:p>
        </w:tc>
        <w:tc>
          <w:tcPr>
            <w:tcW w:w="1056" w:type="dxa"/>
            <w:vMerge w:val="restart"/>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企业能力（</w:t>
            </w:r>
            <w:r>
              <w:rPr>
                <w:rFonts w:eastAsia="仿宋_GB2312"/>
                <w:color w:val="000000"/>
                <w:kern w:val="0"/>
                <w:sz w:val="28"/>
                <w:szCs w:val="28"/>
              </w:rPr>
              <w:t>25</w:t>
            </w:r>
            <w:r>
              <w:rPr>
                <w:rFonts w:hint="eastAsia" w:eastAsia="仿宋_GB2312"/>
                <w:color w:val="000000"/>
                <w:kern w:val="0"/>
                <w:sz w:val="28"/>
                <w:szCs w:val="28"/>
              </w:rPr>
              <w:t>）</w:t>
            </w:r>
          </w:p>
        </w:tc>
        <w:tc>
          <w:tcPr>
            <w:tcW w:w="1067"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投资能力</w:t>
            </w:r>
          </w:p>
        </w:tc>
        <w:tc>
          <w:tcPr>
            <w:tcW w:w="802"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10</w:t>
            </w:r>
          </w:p>
        </w:tc>
        <w:tc>
          <w:tcPr>
            <w:tcW w:w="5163" w:type="dxa"/>
            <w:tcBorders>
              <w:top w:val="nil"/>
              <w:left w:val="nil"/>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申报项目资本金比例，投资企业总资产、企业净资产等。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9" w:hRule="atLeast"/>
        </w:trPr>
        <w:tc>
          <w:tcPr>
            <w:tcW w:w="802" w:type="dxa"/>
            <w:vMerge w:val="continue"/>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056" w:type="dxa"/>
            <w:vMerge w:val="continue"/>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067"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业绩</w:t>
            </w:r>
          </w:p>
        </w:tc>
        <w:tc>
          <w:tcPr>
            <w:tcW w:w="802"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6</w:t>
            </w:r>
          </w:p>
        </w:tc>
        <w:tc>
          <w:tcPr>
            <w:tcW w:w="5163" w:type="dxa"/>
            <w:tcBorders>
              <w:top w:val="nil"/>
              <w:left w:val="nil"/>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原则上仅考虑全国风电并网业绩。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9" w:hRule="atLeast"/>
        </w:trPr>
        <w:tc>
          <w:tcPr>
            <w:tcW w:w="802" w:type="dxa"/>
            <w:vMerge w:val="continue"/>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056" w:type="dxa"/>
            <w:vMerge w:val="continue"/>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067"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技术管理能力</w:t>
            </w:r>
          </w:p>
        </w:tc>
        <w:tc>
          <w:tcPr>
            <w:tcW w:w="802"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5</w:t>
            </w:r>
          </w:p>
        </w:tc>
        <w:tc>
          <w:tcPr>
            <w:tcW w:w="5163" w:type="dxa"/>
            <w:tcBorders>
              <w:top w:val="nil"/>
              <w:left w:val="nil"/>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企业技术创新能力，已运行风电项目资产负债率、利润率等。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9" w:hRule="atLeast"/>
        </w:trPr>
        <w:tc>
          <w:tcPr>
            <w:tcW w:w="802" w:type="dxa"/>
            <w:vMerge w:val="continue"/>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056" w:type="dxa"/>
            <w:vMerge w:val="continue"/>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p>
        </w:tc>
        <w:tc>
          <w:tcPr>
            <w:tcW w:w="1067"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履约评价</w:t>
            </w:r>
          </w:p>
        </w:tc>
        <w:tc>
          <w:tcPr>
            <w:tcW w:w="802"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4</w:t>
            </w:r>
          </w:p>
        </w:tc>
        <w:tc>
          <w:tcPr>
            <w:tcW w:w="5163" w:type="dxa"/>
            <w:tcBorders>
              <w:top w:val="nil"/>
              <w:left w:val="nil"/>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近三年或正在实施项目的履约情况，社会信誉情况。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88" w:hRule="atLeast"/>
        </w:trPr>
        <w:tc>
          <w:tcPr>
            <w:tcW w:w="802" w:type="dxa"/>
            <w:vMerge w:val="restart"/>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2</w:t>
            </w:r>
          </w:p>
        </w:tc>
        <w:tc>
          <w:tcPr>
            <w:tcW w:w="1056" w:type="dxa"/>
            <w:vMerge w:val="restart"/>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设备先进性（</w:t>
            </w:r>
            <w:r>
              <w:rPr>
                <w:rFonts w:eastAsia="仿宋_GB2312"/>
                <w:color w:val="000000"/>
                <w:kern w:val="0"/>
                <w:sz w:val="28"/>
                <w:szCs w:val="28"/>
              </w:rPr>
              <w:t>15</w:t>
            </w:r>
            <w:r>
              <w:rPr>
                <w:rFonts w:hint="eastAsia" w:eastAsia="仿宋_GB2312"/>
                <w:color w:val="000000"/>
                <w:kern w:val="0"/>
                <w:sz w:val="28"/>
                <w:szCs w:val="28"/>
              </w:rPr>
              <w:t>）</w:t>
            </w:r>
          </w:p>
        </w:tc>
        <w:tc>
          <w:tcPr>
            <w:tcW w:w="1067" w:type="dxa"/>
            <w:vMerge w:val="restart"/>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重点设备先进性</w:t>
            </w:r>
          </w:p>
        </w:tc>
        <w:tc>
          <w:tcPr>
            <w:tcW w:w="802" w:type="dxa"/>
            <w:vMerge w:val="restart"/>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15</w:t>
            </w:r>
          </w:p>
        </w:tc>
        <w:tc>
          <w:tcPr>
            <w:tcW w:w="5163" w:type="dxa"/>
            <w:vMerge w:val="restart"/>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textAlignment w:val="auto"/>
              <w:rPr>
                <w:rFonts w:eastAsia="仿宋_GB2312"/>
                <w:color w:val="000000"/>
                <w:kern w:val="0"/>
                <w:sz w:val="28"/>
                <w:szCs w:val="28"/>
              </w:rPr>
            </w:pPr>
            <w:r>
              <w:rPr>
                <w:rFonts w:hint="eastAsia" w:eastAsia="仿宋_GB2312"/>
                <w:color w:val="000000"/>
                <w:kern w:val="0"/>
                <w:sz w:val="28"/>
                <w:szCs w:val="28"/>
              </w:rPr>
              <w:t>风电机组单机容量，风电机组整机认证情况，风电机组风能利用系数、动态功率曲线保证承诺等。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3" w:hRule="atLeast"/>
        </w:trPr>
        <w:tc>
          <w:tcPr>
            <w:tcW w:w="802" w:type="dxa"/>
            <w:vMerge w:val="continue"/>
            <w:tcBorders>
              <w:top w:val="nil"/>
              <w:left w:val="single" w:color="000000" w:sz="8" w:space="0"/>
              <w:bottom w:val="single" w:color="000000" w:sz="8" w:space="0"/>
              <w:right w:val="single" w:color="000000" w:sz="8" w:space="0"/>
            </w:tcBorders>
            <w:vAlign w:val="center"/>
          </w:tcPr>
          <w:p>
            <w:pPr>
              <w:keepNext/>
              <w:keepLines/>
              <w:widowControl/>
              <w:adjustRightInd w:val="0"/>
              <w:snapToGrid w:val="0"/>
              <w:spacing w:line="240" w:lineRule="auto"/>
              <w:jc w:val="left"/>
              <w:textAlignment w:val="auto"/>
              <w:outlineLvl w:val="2"/>
              <w:rPr>
                <w:rFonts w:eastAsia="仿宋_GB2312"/>
                <w:color w:val="000000"/>
                <w:kern w:val="0"/>
                <w:sz w:val="28"/>
                <w:szCs w:val="28"/>
              </w:rPr>
            </w:pPr>
          </w:p>
        </w:tc>
        <w:tc>
          <w:tcPr>
            <w:tcW w:w="1056" w:type="dxa"/>
            <w:vMerge w:val="continue"/>
            <w:tcBorders>
              <w:top w:val="nil"/>
              <w:left w:val="single" w:color="000000" w:sz="8" w:space="0"/>
              <w:bottom w:val="single" w:color="000000" w:sz="8" w:space="0"/>
              <w:right w:val="single" w:color="000000" w:sz="8" w:space="0"/>
            </w:tcBorders>
            <w:vAlign w:val="center"/>
          </w:tcPr>
          <w:p>
            <w:pPr>
              <w:keepNext/>
              <w:keepLines/>
              <w:widowControl/>
              <w:adjustRightInd w:val="0"/>
              <w:snapToGrid w:val="0"/>
              <w:spacing w:line="240" w:lineRule="auto"/>
              <w:jc w:val="left"/>
              <w:textAlignment w:val="auto"/>
              <w:outlineLvl w:val="2"/>
              <w:rPr>
                <w:rFonts w:eastAsia="仿宋_GB2312"/>
                <w:color w:val="000000"/>
                <w:kern w:val="0"/>
                <w:sz w:val="28"/>
                <w:szCs w:val="28"/>
              </w:rPr>
            </w:pPr>
          </w:p>
        </w:tc>
        <w:tc>
          <w:tcPr>
            <w:tcW w:w="1067" w:type="dxa"/>
            <w:vMerge w:val="continue"/>
            <w:tcBorders>
              <w:top w:val="nil"/>
              <w:left w:val="single" w:color="000000" w:sz="8" w:space="0"/>
              <w:bottom w:val="single" w:color="000000" w:sz="8" w:space="0"/>
              <w:right w:val="single" w:color="000000" w:sz="8" w:space="0"/>
            </w:tcBorders>
            <w:vAlign w:val="center"/>
          </w:tcPr>
          <w:p>
            <w:pPr>
              <w:keepNext/>
              <w:keepLines/>
              <w:widowControl/>
              <w:adjustRightInd w:val="0"/>
              <w:snapToGrid w:val="0"/>
              <w:spacing w:line="240" w:lineRule="auto"/>
              <w:jc w:val="left"/>
              <w:textAlignment w:val="auto"/>
              <w:outlineLvl w:val="2"/>
              <w:rPr>
                <w:rFonts w:eastAsia="仿宋_GB2312"/>
                <w:color w:val="000000"/>
                <w:kern w:val="0"/>
                <w:sz w:val="28"/>
                <w:szCs w:val="28"/>
              </w:rPr>
            </w:pPr>
          </w:p>
        </w:tc>
        <w:tc>
          <w:tcPr>
            <w:tcW w:w="802" w:type="dxa"/>
            <w:vMerge w:val="continue"/>
            <w:tcBorders>
              <w:top w:val="nil"/>
              <w:left w:val="single" w:color="000000" w:sz="8" w:space="0"/>
              <w:bottom w:val="single" w:color="000000" w:sz="8" w:space="0"/>
              <w:right w:val="single" w:color="000000" w:sz="8" w:space="0"/>
            </w:tcBorders>
            <w:vAlign w:val="center"/>
          </w:tcPr>
          <w:p>
            <w:pPr>
              <w:keepNext/>
              <w:keepLines/>
              <w:widowControl/>
              <w:adjustRightInd w:val="0"/>
              <w:snapToGrid w:val="0"/>
              <w:spacing w:line="240" w:lineRule="auto"/>
              <w:jc w:val="left"/>
              <w:textAlignment w:val="auto"/>
              <w:outlineLvl w:val="2"/>
              <w:rPr>
                <w:rFonts w:eastAsia="仿宋_GB2312"/>
                <w:color w:val="000000"/>
                <w:kern w:val="0"/>
                <w:sz w:val="28"/>
                <w:szCs w:val="28"/>
              </w:rPr>
            </w:pPr>
          </w:p>
        </w:tc>
        <w:tc>
          <w:tcPr>
            <w:tcW w:w="5163" w:type="dxa"/>
            <w:vMerge w:val="continue"/>
            <w:tcBorders>
              <w:top w:val="nil"/>
              <w:left w:val="single" w:color="000000" w:sz="8" w:space="0"/>
              <w:bottom w:val="single" w:color="000000" w:sz="8" w:space="0"/>
              <w:right w:val="single" w:color="000000" w:sz="8" w:space="0"/>
            </w:tcBorders>
            <w:vAlign w:val="center"/>
          </w:tcPr>
          <w:p>
            <w:pPr>
              <w:keepNext/>
              <w:keepLines/>
              <w:widowControl/>
              <w:adjustRightInd w:val="0"/>
              <w:snapToGrid w:val="0"/>
              <w:spacing w:line="240" w:lineRule="auto"/>
              <w:jc w:val="left"/>
              <w:textAlignment w:val="auto"/>
              <w:outlineLvl w:val="2"/>
              <w:rPr>
                <w:rFonts w:eastAsia="仿宋_GB2312"/>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1" w:hRule="atLeast"/>
        </w:trPr>
        <w:tc>
          <w:tcPr>
            <w:tcW w:w="802" w:type="dxa"/>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3</w:t>
            </w:r>
          </w:p>
        </w:tc>
        <w:tc>
          <w:tcPr>
            <w:tcW w:w="1056"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技术方案（</w:t>
            </w:r>
            <w:r>
              <w:rPr>
                <w:rFonts w:eastAsia="仿宋_GB2312"/>
                <w:color w:val="000000"/>
                <w:kern w:val="0"/>
                <w:sz w:val="28"/>
                <w:szCs w:val="28"/>
              </w:rPr>
              <w:t>20</w:t>
            </w:r>
            <w:r>
              <w:rPr>
                <w:rFonts w:hint="eastAsia" w:eastAsia="仿宋_GB2312"/>
                <w:color w:val="000000"/>
                <w:kern w:val="0"/>
                <w:sz w:val="28"/>
                <w:szCs w:val="28"/>
              </w:rPr>
              <w:t>）</w:t>
            </w:r>
          </w:p>
        </w:tc>
        <w:tc>
          <w:tcPr>
            <w:tcW w:w="1067"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项目技术方案评价</w:t>
            </w:r>
          </w:p>
        </w:tc>
        <w:tc>
          <w:tcPr>
            <w:tcW w:w="802"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20</w:t>
            </w:r>
          </w:p>
        </w:tc>
        <w:tc>
          <w:tcPr>
            <w:tcW w:w="5163" w:type="dxa"/>
            <w:tcBorders>
              <w:top w:val="nil"/>
              <w:left w:val="nil"/>
              <w:bottom w:val="single" w:color="000000" w:sz="8" w:space="0"/>
              <w:right w:val="single" w:color="000000" w:sz="8" w:space="0"/>
            </w:tcBorders>
            <w:vAlign w:val="center"/>
          </w:tcPr>
          <w:p>
            <w:pPr>
              <w:widowControl/>
              <w:adjustRightInd w:val="0"/>
              <w:snapToGrid w:val="0"/>
              <w:spacing w:line="240" w:lineRule="auto"/>
              <w:jc w:val="left"/>
              <w:textAlignment w:val="auto"/>
              <w:rPr>
                <w:rFonts w:eastAsia="仿宋_GB2312"/>
                <w:color w:val="000000"/>
                <w:kern w:val="0"/>
                <w:sz w:val="28"/>
                <w:szCs w:val="28"/>
              </w:rPr>
            </w:pPr>
            <w:r>
              <w:rPr>
                <w:rFonts w:hint="eastAsia" w:eastAsia="仿宋_GB2312"/>
                <w:color w:val="000000"/>
                <w:kern w:val="0"/>
                <w:sz w:val="28"/>
                <w:szCs w:val="28"/>
              </w:rPr>
              <w:t>风能资源高效利用，风电场智能化设计，退役及拆除方案，方案技术经济合理性。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52" w:hRule="atLeast"/>
        </w:trPr>
        <w:tc>
          <w:tcPr>
            <w:tcW w:w="802" w:type="dxa"/>
            <w:tcBorders>
              <w:top w:val="nil"/>
              <w:left w:val="single" w:color="000000" w:sz="8" w:space="0"/>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4</w:t>
            </w:r>
          </w:p>
        </w:tc>
        <w:tc>
          <w:tcPr>
            <w:tcW w:w="1056"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申报电价（</w:t>
            </w:r>
            <w:r>
              <w:rPr>
                <w:rFonts w:eastAsia="仿宋_GB2312"/>
                <w:color w:val="000000"/>
                <w:kern w:val="0"/>
                <w:sz w:val="28"/>
                <w:szCs w:val="28"/>
              </w:rPr>
              <w:t>40</w:t>
            </w:r>
            <w:r>
              <w:rPr>
                <w:rFonts w:hint="eastAsia" w:eastAsia="仿宋_GB2312"/>
                <w:color w:val="000000"/>
                <w:kern w:val="0"/>
                <w:sz w:val="28"/>
                <w:szCs w:val="28"/>
              </w:rPr>
              <w:t>）</w:t>
            </w:r>
          </w:p>
        </w:tc>
        <w:tc>
          <w:tcPr>
            <w:tcW w:w="1067"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hint="eastAsia" w:eastAsia="仿宋_GB2312"/>
                <w:color w:val="000000"/>
                <w:kern w:val="0"/>
                <w:sz w:val="28"/>
                <w:szCs w:val="28"/>
              </w:rPr>
              <w:t>申报电价竞争力</w:t>
            </w:r>
          </w:p>
        </w:tc>
        <w:tc>
          <w:tcPr>
            <w:tcW w:w="802" w:type="dxa"/>
            <w:tcBorders>
              <w:top w:val="nil"/>
              <w:left w:val="nil"/>
              <w:bottom w:val="single" w:color="000000" w:sz="8" w:space="0"/>
              <w:right w:val="single" w:color="000000" w:sz="8" w:space="0"/>
            </w:tcBorders>
            <w:vAlign w:val="center"/>
          </w:tcPr>
          <w:p>
            <w:pPr>
              <w:widowControl/>
              <w:adjustRightInd w:val="0"/>
              <w:snapToGrid w:val="0"/>
              <w:spacing w:line="240" w:lineRule="auto"/>
              <w:jc w:val="center"/>
              <w:textAlignment w:val="auto"/>
              <w:rPr>
                <w:rFonts w:eastAsia="仿宋_GB2312"/>
                <w:color w:val="000000"/>
                <w:kern w:val="0"/>
                <w:sz w:val="28"/>
                <w:szCs w:val="28"/>
              </w:rPr>
            </w:pPr>
            <w:r>
              <w:rPr>
                <w:rFonts w:eastAsia="仿宋_GB2312"/>
                <w:color w:val="000000"/>
                <w:kern w:val="0"/>
                <w:sz w:val="28"/>
                <w:szCs w:val="28"/>
              </w:rPr>
              <w:t>40</w:t>
            </w:r>
          </w:p>
        </w:tc>
        <w:tc>
          <w:tcPr>
            <w:tcW w:w="5163" w:type="dxa"/>
            <w:tcBorders>
              <w:top w:val="nil"/>
              <w:left w:val="nil"/>
              <w:bottom w:val="single" w:color="000000" w:sz="8" w:space="0"/>
              <w:right w:val="single" w:color="000000" w:sz="8" w:space="0"/>
            </w:tcBorders>
            <w:vAlign w:val="center"/>
          </w:tcPr>
          <w:p>
            <w:pPr>
              <w:widowControl/>
              <w:adjustRightInd w:val="0"/>
              <w:snapToGrid w:val="0"/>
              <w:spacing w:line="240" w:lineRule="auto"/>
              <w:textAlignment w:val="auto"/>
              <w:rPr>
                <w:rFonts w:eastAsia="仿宋_GB2312"/>
                <w:color w:val="000000"/>
                <w:kern w:val="0"/>
                <w:sz w:val="28"/>
                <w:szCs w:val="28"/>
              </w:rPr>
            </w:pPr>
            <w:r>
              <w:rPr>
                <w:rFonts w:hint="eastAsia" w:eastAsia="仿宋_GB2312"/>
                <w:color w:val="000000"/>
                <w:kern w:val="0"/>
                <w:sz w:val="28"/>
                <w:szCs w:val="28"/>
              </w:rPr>
              <w:t>以所属风能资源区现行风电上网标杆电价作为最高限价，根据降价幅度科学评分。不得设置最低报价。</w:t>
            </w:r>
          </w:p>
        </w:tc>
      </w:tr>
    </w:tbl>
    <w:p>
      <w:pPr>
        <w:adjustRightInd w:val="0"/>
        <w:snapToGrid w:val="0"/>
        <w:ind w:firstLine="600" w:firstLineChars="200"/>
        <w:textAlignment w:val="auto"/>
        <w:rPr>
          <w:szCs w:val="30"/>
        </w:rPr>
      </w:pPr>
    </w:p>
    <w:p>
      <w:pPr>
        <w:spacing w:line="588" w:lineRule="exact"/>
        <w:jc w:val="left"/>
        <w:rPr>
          <w:rFonts w:hint="eastAsia" w:eastAsia="方正黑体_GBK"/>
          <w:spacing w:val="-3"/>
          <w:sz w:val="30"/>
          <w:szCs w:val="30"/>
        </w:rPr>
      </w:pPr>
    </w:p>
    <w:p>
      <w:pPr>
        <w:spacing w:line="588" w:lineRule="exact"/>
        <w:jc w:val="left"/>
        <w:rPr>
          <w:rFonts w:eastAsia="方正黑体_GBK"/>
          <w:spacing w:val="-3"/>
          <w:sz w:val="30"/>
          <w:szCs w:val="30"/>
        </w:rPr>
      </w:pPr>
      <w:r>
        <w:rPr>
          <w:rFonts w:hint="eastAsia" w:eastAsia="方正黑体_GBK"/>
          <w:spacing w:val="-3"/>
          <w:sz w:val="30"/>
          <w:szCs w:val="30"/>
        </w:rPr>
        <w:t>附件</w:t>
      </w:r>
      <w:r>
        <w:rPr>
          <w:rFonts w:eastAsia="方正黑体_GBK"/>
          <w:spacing w:val="-3"/>
          <w:sz w:val="30"/>
          <w:szCs w:val="30"/>
        </w:rPr>
        <w:t>2</w:t>
      </w:r>
    </w:p>
    <w:p>
      <w:pPr>
        <w:spacing w:line="588" w:lineRule="exact"/>
        <w:jc w:val="left"/>
        <w:rPr>
          <w:rFonts w:eastAsia="方正黑体_GBK"/>
          <w:spacing w:val="-3"/>
          <w:sz w:val="30"/>
          <w:szCs w:val="30"/>
        </w:rPr>
      </w:pPr>
    </w:p>
    <w:p>
      <w:pPr>
        <w:spacing w:line="588" w:lineRule="exact"/>
        <w:jc w:val="center"/>
        <w:rPr>
          <w:rFonts w:eastAsia="方正小标宋_GBK"/>
          <w:spacing w:val="-3"/>
          <w:sz w:val="40"/>
          <w:szCs w:val="40"/>
        </w:rPr>
      </w:pPr>
      <w:r>
        <w:rPr>
          <w:rFonts w:eastAsia="方正小标宋_GBK"/>
          <w:spacing w:val="-3"/>
          <w:sz w:val="40"/>
          <w:szCs w:val="40"/>
        </w:rPr>
        <w:t>2019年光伏发电建设管理</w:t>
      </w:r>
      <w:r>
        <w:rPr>
          <w:rFonts w:hint="eastAsia" w:eastAsia="方正小标宋_GBK"/>
          <w:spacing w:val="-3"/>
          <w:sz w:val="40"/>
          <w:szCs w:val="40"/>
        </w:rPr>
        <w:t>工作方案</w:t>
      </w:r>
    </w:p>
    <w:p>
      <w:pPr>
        <w:spacing w:line="588" w:lineRule="exact"/>
        <w:jc w:val="center"/>
        <w:rPr>
          <w:rFonts w:eastAsia="楷体_GB2312"/>
          <w:spacing w:val="-3"/>
          <w:sz w:val="32"/>
          <w:szCs w:val="32"/>
        </w:rPr>
      </w:pPr>
    </w:p>
    <w:p>
      <w:pPr>
        <w:spacing w:line="588" w:lineRule="exact"/>
        <w:ind w:firstLine="628" w:firstLineChars="200"/>
        <w:rPr>
          <w:spacing w:val="-3"/>
          <w:sz w:val="32"/>
          <w:szCs w:val="32"/>
        </w:rPr>
      </w:pPr>
      <w:r>
        <w:rPr>
          <w:rFonts w:hint="eastAsia"/>
          <w:spacing w:val="-3"/>
          <w:sz w:val="32"/>
          <w:szCs w:val="32"/>
        </w:rPr>
        <w:t>为发挥市场在资源配置中的决定性作用，加速降低度电补贴强度，推进光伏产业健康持续发展，现就做好</w:t>
      </w:r>
      <w:r>
        <w:rPr>
          <w:spacing w:val="-3"/>
          <w:sz w:val="32"/>
          <w:szCs w:val="32"/>
        </w:rPr>
        <w:t>2019年</w:t>
      </w:r>
      <w:r>
        <w:rPr>
          <w:rFonts w:hint="eastAsia"/>
          <w:spacing w:val="-3"/>
          <w:sz w:val="32"/>
          <w:szCs w:val="32"/>
        </w:rPr>
        <w:t>光伏发电开发建设管理工作有关要求通知如下。</w:t>
      </w:r>
    </w:p>
    <w:p>
      <w:pPr>
        <w:spacing w:line="588" w:lineRule="exact"/>
        <w:ind w:firstLine="628" w:firstLineChars="200"/>
        <w:rPr>
          <w:rFonts w:eastAsia="黑体"/>
          <w:spacing w:val="-3"/>
          <w:sz w:val="32"/>
          <w:szCs w:val="32"/>
        </w:rPr>
      </w:pPr>
      <w:r>
        <w:rPr>
          <w:rFonts w:hint="eastAsia" w:eastAsia="黑体"/>
          <w:spacing w:val="-3"/>
          <w:sz w:val="32"/>
          <w:szCs w:val="32"/>
        </w:rPr>
        <w:t>一、总体思路</w:t>
      </w:r>
    </w:p>
    <w:p>
      <w:pPr>
        <w:spacing w:line="588" w:lineRule="exact"/>
        <w:ind w:firstLine="628" w:firstLineChars="200"/>
        <w:rPr>
          <w:spacing w:val="-3"/>
          <w:sz w:val="32"/>
          <w:szCs w:val="32"/>
        </w:rPr>
      </w:pPr>
      <w:r>
        <w:rPr>
          <w:rFonts w:hint="eastAsia"/>
          <w:spacing w:val="-3"/>
          <w:sz w:val="32"/>
          <w:szCs w:val="32"/>
        </w:rPr>
        <w:t>坚持稳中求进总基调，坚持新发展理念，坚持推动高质量发展，坚持推进市场化改革，落实“放管服”改革要求，完善光伏发电建设管理。在光伏发电全面实现无补贴平价上网前，对于不需要国家补贴的光伏发电项目，由地方按《国家发展改革委</w:t>
      </w:r>
      <w:r>
        <w:rPr>
          <w:spacing w:val="-3"/>
          <w:sz w:val="32"/>
          <w:szCs w:val="32"/>
        </w:rPr>
        <w:t xml:space="preserve"> </w:t>
      </w:r>
      <w:r>
        <w:rPr>
          <w:rFonts w:hint="eastAsia"/>
          <w:spacing w:val="-3"/>
          <w:sz w:val="32"/>
          <w:szCs w:val="32"/>
        </w:rPr>
        <w:t>国家能源局关于积极推进风电、光伏发电无补贴平价上网有关工作的通知》（发改能源〔</w:t>
      </w:r>
      <w:r>
        <w:rPr>
          <w:spacing w:val="-3"/>
          <w:sz w:val="32"/>
          <w:szCs w:val="32"/>
        </w:rPr>
        <w:t>2019</w:t>
      </w:r>
      <w:r>
        <w:rPr>
          <w:rFonts w:hint="eastAsia"/>
          <w:spacing w:val="-3"/>
          <w:sz w:val="32"/>
          <w:szCs w:val="32"/>
        </w:rPr>
        <w:t>〕</w:t>
      </w:r>
      <w:r>
        <w:rPr>
          <w:spacing w:val="-3"/>
          <w:sz w:val="32"/>
          <w:szCs w:val="32"/>
        </w:rPr>
        <w:t>19</w:t>
      </w:r>
      <w:r>
        <w:rPr>
          <w:rFonts w:hint="eastAsia"/>
          <w:spacing w:val="-3"/>
          <w:sz w:val="32"/>
          <w:szCs w:val="32"/>
        </w:rPr>
        <w:t>号）规定自行组织建设；对于需要国家补贴的新建光伏发电项目，原则上均应按本通知由市场机制确定项目和实行补贴竞价。</w:t>
      </w:r>
    </w:p>
    <w:p>
      <w:pPr>
        <w:spacing w:line="588" w:lineRule="exact"/>
        <w:ind w:firstLine="628" w:firstLineChars="200"/>
        <w:rPr>
          <w:rFonts w:eastAsia="黑体"/>
          <w:spacing w:val="-3"/>
          <w:sz w:val="32"/>
          <w:szCs w:val="32"/>
        </w:rPr>
      </w:pPr>
      <w:r>
        <w:rPr>
          <w:rFonts w:hint="eastAsia" w:eastAsia="黑体"/>
          <w:spacing w:val="-3"/>
          <w:sz w:val="32"/>
          <w:szCs w:val="32"/>
        </w:rPr>
        <w:t>二</w:t>
      </w:r>
      <w:r>
        <w:rPr>
          <w:rFonts w:eastAsia="黑体"/>
          <w:spacing w:val="-3"/>
          <w:sz w:val="32"/>
          <w:szCs w:val="32"/>
        </w:rPr>
        <w:t>、</w:t>
      </w:r>
      <w:r>
        <w:rPr>
          <w:rFonts w:hint="eastAsia" w:eastAsia="黑体"/>
          <w:spacing w:val="-3"/>
          <w:sz w:val="32"/>
          <w:szCs w:val="32"/>
        </w:rPr>
        <w:t>优化国家补贴项目管理</w:t>
      </w:r>
    </w:p>
    <w:p>
      <w:pPr>
        <w:spacing w:line="588" w:lineRule="exact"/>
        <w:ind w:firstLine="628" w:firstLineChars="200"/>
        <w:rPr>
          <w:spacing w:val="-3"/>
          <w:sz w:val="32"/>
          <w:szCs w:val="32"/>
        </w:rPr>
      </w:pPr>
      <w:r>
        <w:rPr>
          <w:rFonts w:hint="eastAsia" w:eastAsia="楷体_GB2312"/>
          <w:spacing w:val="-3"/>
          <w:sz w:val="32"/>
          <w:szCs w:val="32"/>
        </w:rPr>
        <w:t>（一）明确项目类别。</w:t>
      </w:r>
      <w:r>
        <w:rPr>
          <w:rFonts w:hint="eastAsia"/>
          <w:spacing w:val="-3"/>
          <w:sz w:val="32"/>
          <w:szCs w:val="32"/>
        </w:rPr>
        <w:t>自</w:t>
      </w:r>
      <w:r>
        <w:rPr>
          <w:spacing w:val="-3"/>
          <w:sz w:val="32"/>
          <w:szCs w:val="32"/>
        </w:rPr>
        <w:t>2019</w:t>
      </w:r>
      <w:r>
        <w:rPr>
          <w:rFonts w:hint="eastAsia"/>
          <w:spacing w:val="-3"/>
          <w:sz w:val="32"/>
          <w:szCs w:val="32"/>
        </w:rPr>
        <w:t>年起，对需要国家补贴的新建光伏发电项目分以下五类：（</w:t>
      </w:r>
      <w:r>
        <w:rPr>
          <w:spacing w:val="-3"/>
          <w:sz w:val="32"/>
          <w:szCs w:val="32"/>
        </w:rPr>
        <w:t>1</w:t>
      </w:r>
      <w:r>
        <w:rPr>
          <w:rFonts w:hint="eastAsia"/>
          <w:spacing w:val="-3"/>
          <w:sz w:val="32"/>
          <w:szCs w:val="32"/>
        </w:rPr>
        <w:t>）光伏扶贫项目，包括已列入国家光伏扶贫目录和国家下达计划的光伏扶贫项目；（</w:t>
      </w:r>
      <w:r>
        <w:rPr>
          <w:spacing w:val="-3"/>
          <w:sz w:val="32"/>
          <w:szCs w:val="32"/>
        </w:rPr>
        <w:t>2</w:t>
      </w:r>
      <w:r>
        <w:rPr>
          <w:rFonts w:hint="eastAsia"/>
          <w:spacing w:val="-3"/>
          <w:sz w:val="32"/>
          <w:szCs w:val="32"/>
        </w:rPr>
        <w:t>）户用光伏：业主自建的户用自然人分布式光伏项目；（</w:t>
      </w:r>
      <w:r>
        <w:rPr>
          <w:spacing w:val="-3"/>
          <w:sz w:val="32"/>
          <w:szCs w:val="32"/>
        </w:rPr>
        <w:t>3</w:t>
      </w:r>
      <w:r>
        <w:rPr>
          <w:rFonts w:hint="eastAsia"/>
          <w:spacing w:val="-3"/>
          <w:sz w:val="32"/>
          <w:szCs w:val="32"/>
        </w:rPr>
        <w:t>）普通光伏电站：装机容量</w:t>
      </w:r>
      <w:r>
        <w:rPr>
          <w:spacing w:val="-3"/>
          <w:sz w:val="32"/>
          <w:szCs w:val="32"/>
        </w:rPr>
        <w:t>6</w:t>
      </w:r>
      <w:r>
        <w:rPr>
          <w:rFonts w:hint="eastAsia"/>
          <w:spacing w:val="-3"/>
          <w:sz w:val="32"/>
          <w:szCs w:val="32"/>
        </w:rPr>
        <w:t>兆瓦及以上的光伏电站；（</w:t>
      </w:r>
      <w:r>
        <w:rPr>
          <w:spacing w:val="-3"/>
          <w:sz w:val="32"/>
          <w:szCs w:val="32"/>
        </w:rPr>
        <w:t>4</w:t>
      </w:r>
      <w:r>
        <w:rPr>
          <w:rFonts w:hint="eastAsia"/>
          <w:spacing w:val="-3"/>
          <w:sz w:val="32"/>
          <w:szCs w:val="32"/>
        </w:rPr>
        <w:t>）工商业分布式光伏发电项目：就地开发、就近利用且单点并网装机容量小于</w:t>
      </w:r>
      <w:r>
        <w:rPr>
          <w:spacing w:val="-3"/>
          <w:sz w:val="32"/>
          <w:szCs w:val="32"/>
        </w:rPr>
        <w:t>6</w:t>
      </w:r>
      <w:r>
        <w:rPr>
          <w:rFonts w:hint="eastAsia"/>
          <w:spacing w:val="-3"/>
          <w:sz w:val="32"/>
          <w:szCs w:val="32"/>
        </w:rPr>
        <w:t>兆瓦的户用光伏以外的各类分布式光伏发电项目；（</w:t>
      </w:r>
      <w:r>
        <w:rPr>
          <w:spacing w:val="-3"/>
          <w:sz w:val="32"/>
          <w:szCs w:val="32"/>
        </w:rPr>
        <w:t>5</w:t>
      </w:r>
      <w:r>
        <w:rPr>
          <w:rFonts w:hint="eastAsia"/>
          <w:spacing w:val="-3"/>
          <w:sz w:val="32"/>
          <w:szCs w:val="32"/>
        </w:rPr>
        <w:t>）国家组织实施的专项工程或示范项目，包括国家明确建设规模的示范省、示范区、示范城市内的光伏发电项目，以及跨省跨区输电通道配套光伏发电项目等。</w:t>
      </w:r>
    </w:p>
    <w:p>
      <w:pPr>
        <w:spacing w:line="588" w:lineRule="exact"/>
        <w:ind w:firstLine="628" w:firstLineChars="200"/>
        <w:rPr>
          <w:spacing w:val="-3"/>
          <w:sz w:val="32"/>
          <w:szCs w:val="32"/>
        </w:rPr>
      </w:pPr>
      <w:r>
        <w:rPr>
          <w:rFonts w:hint="eastAsia" w:eastAsia="楷体_GB2312"/>
          <w:spacing w:val="-3"/>
          <w:sz w:val="32"/>
          <w:szCs w:val="32"/>
        </w:rPr>
        <w:t>（二）实施分类管理。</w:t>
      </w:r>
      <w:r>
        <w:rPr>
          <w:rFonts w:hint="eastAsia"/>
          <w:spacing w:val="-3"/>
          <w:sz w:val="32"/>
          <w:szCs w:val="32"/>
        </w:rPr>
        <w:t>根据国家确定的年度新增项目补贴总额，按照以下原则组织新增光伏发电项目建设。其中，（</w:t>
      </w:r>
      <w:r>
        <w:rPr>
          <w:spacing w:val="-3"/>
          <w:sz w:val="32"/>
          <w:szCs w:val="32"/>
        </w:rPr>
        <w:t>1</w:t>
      </w:r>
      <w:r>
        <w:rPr>
          <w:rFonts w:hint="eastAsia"/>
          <w:spacing w:val="-3"/>
          <w:sz w:val="32"/>
          <w:szCs w:val="32"/>
        </w:rPr>
        <w:t>）光伏扶贫项目按国家相关政策执行；（</w:t>
      </w:r>
      <w:r>
        <w:rPr>
          <w:spacing w:val="-3"/>
          <w:sz w:val="32"/>
          <w:szCs w:val="32"/>
        </w:rPr>
        <w:t>2</w:t>
      </w:r>
      <w:r>
        <w:rPr>
          <w:rFonts w:hint="eastAsia"/>
          <w:spacing w:val="-3"/>
          <w:sz w:val="32"/>
          <w:szCs w:val="32"/>
        </w:rPr>
        <w:t>）户用光伏根据切块的补贴额度确定的年度装机总量和固定补贴标准进行单独管理；（</w:t>
      </w:r>
      <w:r>
        <w:rPr>
          <w:spacing w:val="-3"/>
          <w:sz w:val="32"/>
          <w:szCs w:val="32"/>
        </w:rPr>
        <w:t>3</w:t>
      </w:r>
      <w:r>
        <w:rPr>
          <w:rFonts w:hint="eastAsia"/>
          <w:spacing w:val="-3"/>
          <w:sz w:val="32"/>
          <w:szCs w:val="32"/>
        </w:rPr>
        <w:t>）除国家有明确政策规定外，普通光伏电站、工商业分布式光伏发电项目以及国家组织实施的专项工程、示范项目（以下简称普通项目），原则上均由地方通过招标等竞争性配置方式组织项目，国家根据补贴额度通过排序确定补贴名单。</w:t>
      </w:r>
    </w:p>
    <w:p>
      <w:pPr>
        <w:spacing w:line="588" w:lineRule="exact"/>
        <w:ind w:firstLine="628" w:firstLineChars="200"/>
        <w:rPr>
          <w:rFonts w:eastAsia="黑体"/>
          <w:spacing w:val="-3"/>
          <w:sz w:val="32"/>
          <w:szCs w:val="32"/>
        </w:rPr>
      </w:pPr>
      <w:r>
        <w:rPr>
          <w:rFonts w:hint="eastAsia" w:eastAsia="黑体"/>
          <w:spacing w:val="-3"/>
          <w:sz w:val="32"/>
          <w:szCs w:val="32"/>
        </w:rPr>
        <w:t>三、户用光伏项目单独管理</w:t>
      </w:r>
    </w:p>
    <w:p>
      <w:pPr>
        <w:spacing w:line="588" w:lineRule="exact"/>
        <w:ind w:firstLine="628" w:firstLineChars="200"/>
        <w:rPr>
          <w:spacing w:val="-3"/>
          <w:sz w:val="32"/>
          <w:szCs w:val="32"/>
        </w:rPr>
      </w:pPr>
      <w:r>
        <w:rPr>
          <w:rFonts w:hint="eastAsia" w:eastAsia="楷体_GB2312"/>
          <w:spacing w:val="-3"/>
          <w:sz w:val="32"/>
          <w:szCs w:val="32"/>
        </w:rPr>
        <w:t>（一）规范户用光伏管理。</w:t>
      </w:r>
      <w:r>
        <w:rPr>
          <w:rFonts w:hint="eastAsia"/>
          <w:spacing w:val="-3"/>
          <w:sz w:val="32"/>
          <w:szCs w:val="32"/>
        </w:rPr>
        <w:t>新建户用光伏应依法依规办理备案等手续，落实各项建设条件，满足质量安全等要求，年度装机总量内的项目以建成并网时间作为补贴计算起点执行固定度电补贴标准。文件发布前已建成并网但未纳入国家补贴范围的项目，自文件印发之日起可按本通知规定向所在地电网企业自愿申报，并以当地备案机关和电网企业按本通知规定进行联合审核、确认项目进入补贴名单的时点为补贴计算起点，并按该时点对应的度电补贴标准享受国家补贴政策。</w:t>
      </w:r>
    </w:p>
    <w:p>
      <w:pPr>
        <w:spacing w:line="588" w:lineRule="exact"/>
        <w:ind w:firstLine="628" w:firstLineChars="200"/>
        <w:rPr>
          <w:spacing w:val="-3"/>
          <w:sz w:val="32"/>
          <w:szCs w:val="32"/>
        </w:rPr>
      </w:pPr>
      <w:r>
        <w:rPr>
          <w:rFonts w:hint="eastAsia" w:eastAsia="楷体_GB2312"/>
          <w:spacing w:val="-3"/>
          <w:sz w:val="32"/>
          <w:szCs w:val="32"/>
        </w:rPr>
        <w:t>（二）完善项目申报程序。</w:t>
      </w:r>
      <w:r>
        <w:rPr>
          <w:rFonts w:hint="eastAsia"/>
          <w:spacing w:val="-3"/>
          <w:sz w:val="32"/>
          <w:szCs w:val="32"/>
        </w:rPr>
        <w:t>国家能源局于每年年初发布国家补贴支持的户用光伏年度装机总量。省级电网企业每月</w:t>
      </w:r>
      <w:r>
        <w:rPr>
          <w:spacing w:val="-3"/>
          <w:sz w:val="32"/>
          <w:szCs w:val="32"/>
        </w:rPr>
        <w:t>10</w:t>
      </w:r>
      <w:r>
        <w:rPr>
          <w:rFonts w:hint="eastAsia"/>
          <w:spacing w:val="-3"/>
          <w:sz w:val="32"/>
          <w:szCs w:val="32"/>
        </w:rPr>
        <w:t>日前对外公布上月新增并网（含新审核确认的文件发布前已建成并网但未纳入国家补贴范围的项目）和当年累计新增并网的户用光伏装机容量及项目名单，并于每月</w:t>
      </w:r>
      <w:r>
        <w:rPr>
          <w:spacing w:val="-3"/>
          <w:sz w:val="32"/>
          <w:szCs w:val="32"/>
        </w:rPr>
        <w:t>15</w:t>
      </w:r>
      <w:r>
        <w:rPr>
          <w:rFonts w:hint="eastAsia"/>
          <w:spacing w:val="-3"/>
          <w:sz w:val="32"/>
          <w:szCs w:val="32"/>
        </w:rPr>
        <w:t>日前向国家能源局和国家可再生能源信息管理中心报送相关信息。当截止上月底的当年累计新增并网装机容量超过当年可安排的新增项目年度装机总量时，当月最后一天为本年度可享受国家补贴政策的户用光伏并网截止时间。</w:t>
      </w:r>
    </w:p>
    <w:p>
      <w:pPr>
        <w:spacing w:line="588" w:lineRule="exact"/>
        <w:ind w:firstLine="628" w:firstLineChars="200"/>
        <w:rPr>
          <w:rFonts w:eastAsia="黑体"/>
          <w:spacing w:val="-3"/>
          <w:sz w:val="32"/>
          <w:szCs w:val="32"/>
        </w:rPr>
      </w:pPr>
      <w:r>
        <w:rPr>
          <w:rFonts w:hint="eastAsia" w:eastAsia="黑体"/>
          <w:spacing w:val="-3"/>
          <w:sz w:val="32"/>
          <w:szCs w:val="32"/>
        </w:rPr>
        <w:t>四、普通项目全面实行市场竞争配置</w:t>
      </w:r>
    </w:p>
    <w:p>
      <w:pPr>
        <w:spacing w:line="588" w:lineRule="exact"/>
        <w:ind w:firstLine="628" w:firstLineChars="200"/>
        <w:rPr>
          <w:spacing w:val="-3"/>
          <w:sz w:val="32"/>
          <w:szCs w:val="32"/>
        </w:rPr>
      </w:pPr>
      <w:r>
        <w:rPr>
          <w:rFonts w:hint="eastAsia" w:eastAsia="楷体_GB2312"/>
          <w:spacing w:val="-3"/>
          <w:sz w:val="32"/>
          <w:szCs w:val="32"/>
        </w:rPr>
        <w:t>（一）扩大市场配置范围、实行项目补贴竞价。</w:t>
      </w:r>
      <w:r>
        <w:rPr>
          <w:rFonts w:hint="eastAsia"/>
          <w:spacing w:val="-3"/>
          <w:sz w:val="32"/>
          <w:szCs w:val="32"/>
        </w:rPr>
        <w:t>发挥市场在资源配置中的决定性作用，除光伏扶贫、户用光伏外，其余需要国家补贴的光伏发电项目原则上均须采取招标等竞争性配置方式，通过项目业主申报、竞争排序方式优选确定国家补贴项目及补贴标准。国家补贴资金优先用于补贴需求下降快、能尽快实现平价的项目和地区，充分发挥国家补贴资金支持先进企业和引领光伏平价的作用。</w:t>
      </w:r>
    </w:p>
    <w:p>
      <w:pPr>
        <w:spacing w:line="588" w:lineRule="exact"/>
        <w:ind w:firstLine="628" w:firstLineChars="200"/>
        <w:rPr>
          <w:spacing w:val="-3"/>
          <w:sz w:val="32"/>
          <w:szCs w:val="32"/>
        </w:rPr>
      </w:pPr>
      <w:r>
        <w:rPr>
          <w:rFonts w:hint="eastAsia" w:eastAsia="楷体_GB2312"/>
          <w:spacing w:val="-3"/>
          <w:sz w:val="32"/>
          <w:szCs w:val="32"/>
        </w:rPr>
        <w:t>（二）严格实行竞争性配置。</w:t>
      </w:r>
      <w:r>
        <w:rPr>
          <w:rFonts w:hint="eastAsia"/>
          <w:spacing w:val="-3"/>
          <w:sz w:val="32"/>
          <w:szCs w:val="32"/>
        </w:rPr>
        <w:t>应当进行市场配置的所有光伏发电项目，均由地方通过招标等竞争性方式配置。各省应综合考虑发展规划、当地资源条件、监测预警、市场消纳、建设成本等因素，规范组织竞争性配置。</w:t>
      </w:r>
    </w:p>
    <w:p>
      <w:pPr>
        <w:spacing w:line="588" w:lineRule="exact"/>
        <w:ind w:firstLine="628" w:firstLineChars="200"/>
        <w:rPr>
          <w:spacing w:val="-3"/>
          <w:sz w:val="32"/>
          <w:szCs w:val="32"/>
        </w:rPr>
      </w:pPr>
      <w:r>
        <w:rPr>
          <w:rFonts w:hint="eastAsia"/>
          <w:spacing w:val="-3"/>
          <w:sz w:val="32"/>
          <w:szCs w:val="32"/>
        </w:rPr>
        <w:t>省级能源主管部门应按国家政策要求制定本地区统一的竞争性配置资源的管理办法，把预期上网电价作为主要竞争条件，并符合国家光伏</w:t>
      </w:r>
      <w:r>
        <w:rPr>
          <w:rFonts w:hint="eastAsia"/>
          <w:color w:val="000000"/>
          <w:spacing w:val="-3"/>
          <w:sz w:val="32"/>
          <w:szCs w:val="32"/>
        </w:rPr>
        <w:t>发电价格</w:t>
      </w:r>
      <w:r>
        <w:rPr>
          <w:rFonts w:hint="eastAsia"/>
          <w:spacing w:val="-3"/>
          <w:sz w:val="32"/>
          <w:szCs w:val="32"/>
        </w:rPr>
        <w:t>政策规定。竞争配置办法要明确技术标准、环境保护、安全质量、建设条件等要求，坚持公开、公平、公正原则，保障充分合理竞争，严禁限价竞争或变相设置中标底线价格。</w:t>
      </w:r>
    </w:p>
    <w:p>
      <w:pPr>
        <w:spacing w:line="588" w:lineRule="exact"/>
        <w:ind w:firstLine="628" w:firstLineChars="200"/>
        <w:rPr>
          <w:spacing w:val="-3"/>
          <w:sz w:val="32"/>
          <w:szCs w:val="32"/>
        </w:rPr>
      </w:pPr>
      <w:r>
        <w:rPr>
          <w:rFonts w:hint="eastAsia" w:eastAsia="楷体_GB2312"/>
          <w:spacing w:val="-3"/>
          <w:sz w:val="32"/>
          <w:szCs w:val="32"/>
        </w:rPr>
        <w:t>（三）明确项目竞争性配置和补贴竞价程序。</w:t>
      </w:r>
      <w:r>
        <w:rPr>
          <w:rFonts w:hint="eastAsia"/>
          <w:spacing w:val="-3"/>
          <w:sz w:val="32"/>
          <w:szCs w:val="32"/>
        </w:rPr>
        <w:t>项目补贴竞价由地方组织申报、国家统一排序。程序主要包括：</w:t>
      </w:r>
    </w:p>
    <w:p>
      <w:pPr>
        <w:spacing w:line="588" w:lineRule="exact"/>
        <w:ind w:firstLine="628" w:firstLineChars="200"/>
        <w:rPr>
          <w:spacing w:val="-3"/>
          <w:sz w:val="32"/>
          <w:szCs w:val="32"/>
        </w:rPr>
      </w:pPr>
      <w:r>
        <w:rPr>
          <w:spacing w:val="-3"/>
          <w:sz w:val="32"/>
          <w:szCs w:val="32"/>
        </w:rPr>
        <w:t>1.</w:t>
      </w:r>
      <w:r>
        <w:rPr>
          <w:rFonts w:hint="eastAsia"/>
          <w:spacing w:val="-3"/>
          <w:sz w:val="32"/>
          <w:szCs w:val="32"/>
        </w:rPr>
        <w:t>省级能源主管部门根据国家安排和相关要求，研究发布年度拟新建项目名单。</w:t>
      </w:r>
    </w:p>
    <w:p>
      <w:pPr>
        <w:spacing w:line="588" w:lineRule="exact"/>
        <w:ind w:firstLine="628" w:firstLineChars="200"/>
        <w:rPr>
          <w:spacing w:val="-3"/>
          <w:sz w:val="32"/>
          <w:szCs w:val="32"/>
        </w:rPr>
      </w:pPr>
      <w:r>
        <w:rPr>
          <w:spacing w:val="-3"/>
          <w:sz w:val="32"/>
          <w:szCs w:val="32"/>
        </w:rPr>
        <w:t>2.</w:t>
      </w:r>
      <w:r>
        <w:rPr>
          <w:rFonts w:hint="eastAsia"/>
          <w:spacing w:val="-3"/>
          <w:sz w:val="32"/>
          <w:szCs w:val="32"/>
        </w:rPr>
        <w:t>省级能源主管部门按国家政策和本省光伏发电项目竞争配置办法组织竞争性配置确定项目业主和预期上网电价。</w:t>
      </w:r>
    </w:p>
    <w:p>
      <w:pPr>
        <w:spacing w:line="588" w:lineRule="exact"/>
        <w:ind w:firstLine="628" w:firstLineChars="200"/>
        <w:rPr>
          <w:spacing w:val="-3"/>
          <w:sz w:val="32"/>
          <w:szCs w:val="32"/>
        </w:rPr>
      </w:pPr>
      <w:r>
        <w:rPr>
          <w:spacing w:val="-3"/>
          <w:sz w:val="32"/>
          <w:szCs w:val="32"/>
        </w:rPr>
        <w:t>3.</w:t>
      </w:r>
      <w:r>
        <w:rPr>
          <w:rFonts w:hint="eastAsia"/>
          <w:spacing w:val="-3"/>
          <w:sz w:val="32"/>
          <w:szCs w:val="32"/>
        </w:rPr>
        <w:t>省级能源主管部门按要求审核汇总后向国家能源局报送申报补贴项目及预期投产时间、上网电价等。普通光伏电站须提供接网消纳、土地落实的支持文件，工商业分布式光伏发电项目须提供土地（场地）落实的支持文件，具体见附件。</w:t>
      </w:r>
    </w:p>
    <w:p>
      <w:pPr>
        <w:spacing w:line="588" w:lineRule="exact"/>
        <w:ind w:firstLine="628" w:firstLineChars="200"/>
        <w:rPr>
          <w:spacing w:val="-3"/>
          <w:sz w:val="32"/>
          <w:szCs w:val="32"/>
        </w:rPr>
      </w:pPr>
      <w:r>
        <w:rPr>
          <w:spacing w:val="-3"/>
          <w:sz w:val="32"/>
          <w:szCs w:val="32"/>
        </w:rPr>
        <w:t>4.</w:t>
      </w:r>
      <w:r>
        <w:rPr>
          <w:rFonts w:hint="eastAsia"/>
          <w:spacing w:val="-3"/>
          <w:sz w:val="32"/>
          <w:szCs w:val="32"/>
        </w:rPr>
        <w:t>国家能源局根据修正后的申报补贴项目上网电价报价由低到高排序遴选纳入补贴范围的项目。修正规则为：</w:t>
      </w:r>
    </w:p>
    <w:p>
      <w:pPr>
        <w:spacing w:line="588" w:lineRule="exact"/>
        <w:ind w:firstLine="628" w:firstLineChars="200"/>
        <w:rPr>
          <w:spacing w:val="-3"/>
          <w:sz w:val="32"/>
          <w:szCs w:val="32"/>
        </w:rPr>
      </w:pPr>
      <w:r>
        <w:rPr>
          <w:rFonts w:hint="eastAsia"/>
          <w:spacing w:val="-3"/>
          <w:sz w:val="32"/>
          <w:szCs w:val="32"/>
        </w:rPr>
        <w:t>（</w:t>
      </w:r>
      <w:r>
        <w:rPr>
          <w:spacing w:val="-3"/>
          <w:sz w:val="32"/>
          <w:szCs w:val="32"/>
        </w:rPr>
        <w:t>1</w:t>
      </w:r>
      <w:r>
        <w:rPr>
          <w:rFonts w:hint="eastAsia"/>
          <w:spacing w:val="-3"/>
          <w:sz w:val="32"/>
          <w:szCs w:val="32"/>
        </w:rPr>
        <w:t>）普通光伏电站和全额上网工商业分布式光伏发电项目：</w:t>
      </w:r>
      <w:r>
        <w:rPr>
          <w:spacing w:val="-3"/>
          <w:sz w:val="32"/>
          <w:szCs w:val="32"/>
        </w:rPr>
        <w:t>II类</w:t>
      </w:r>
      <w:r>
        <w:rPr>
          <w:rFonts w:hint="eastAsia"/>
          <w:spacing w:val="-3"/>
          <w:sz w:val="32"/>
          <w:szCs w:val="32"/>
        </w:rPr>
        <w:t>资源区修正后的电价</w:t>
      </w:r>
      <w:r>
        <w:rPr>
          <w:spacing w:val="-3"/>
          <w:sz w:val="32"/>
          <w:szCs w:val="32"/>
        </w:rPr>
        <w:t>=</w:t>
      </w:r>
      <w:r>
        <w:rPr>
          <w:rFonts w:hint="eastAsia"/>
          <w:spacing w:val="-3"/>
          <w:sz w:val="32"/>
          <w:szCs w:val="32"/>
        </w:rPr>
        <w:t>申报电价</w:t>
      </w:r>
      <w:r>
        <w:rPr>
          <w:spacing w:val="-3"/>
          <w:sz w:val="32"/>
          <w:szCs w:val="32"/>
        </w:rPr>
        <w:t>-0.05</w:t>
      </w:r>
      <w:r>
        <w:rPr>
          <w:rFonts w:hint="eastAsia"/>
          <w:spacing w:val="-3"/>
          <w:sz w:val="32"/>
          <w:szCs w:val="32"/>
        </w:rPr>
        <w:t>元</w:t>
      </w:r>
      <w:r>
        <w:rPr>
          <w:spacing w:val="-3"/>
          <w:sz w:val="32"/>
          <w:szCs w:val="32"/>
        </w:rPr>
        <w:t>/</w:t>
      </w:r>
      <w:r>
        <w:rPr>
          <w:rFonts w:hint="eastAsia"/>
          <w:spacing w:val="-3"/>
          <w:sz w:val="32"/>
          <w:szCs w:val="32"/>
        </w:rPr>
        <w:t>千瓦时，</w:t>
      </w:r>
      <w:r>
        <w:rPr>
          <w:spacing w:val="-3"/>
          <w:sz w:val="32"/>
          <w:szCs w:val="32"/>
        </w:rPr>
        <w:t>III</w:t>
      </w:r>
      <w:r>
        <w:rPr>
          <w:rFonts w:hint="eastAsia"/>
          <w:spacing w:val="-3"/>
          <w:sz w:val="32"/>
          <w:szCs w:val="32"/>
        </w:rPr>
        <w:t>类资源区修正后的电价</w:t>
      </w:r>
      <w:r>
        <w:rPr>
          <w:spacing w:val="-3"/>
          <w:sz w:val="32"/>
          <w:szCs w:val="32"/>
        </w:rPr>
        <w:t>=</w:t>
      </w:r>
      <w:r>
        <w:rPr>
          <w:rFonts w:hint="eastAsia"/>
          <w:spacing w:val="-3"/>
          <w:sz w:val="32"/>
          <w:szCs w:val="32"/>
        </w:rPr>
        <w:t>申报电价</w:t>
      </w:r>
      <w:r>
        <w:rPr>
          <w:spacing w:val="-3"/>
          <w:sz w:val="32"/>
          <w:szCs w:val="32"/>
        </w:rPr>
        <w:t>-0.15</w:t>
      </w:r>
      <w:r>
        <w:rPr>
          <w:rFonts w:hint="eastAsia"/>
          <w:spacing w:val="-3"/>
          <w:sz w:val="32"/>
          <w:szCs w:val="32"/>
        </w:rPr>
        <w:t>元</w:t>
      </w:r>
      <w:r>
        <w:rPr>
          <w:spacing w:val="-3"/>
          <w:sz w:val="32"/>
          <w:szCs w:val="32"/>
        </w:rPr>
        <w:t>/</w:t>
      </w:r>
      <w:r>
        <w:rPr>
          <w:rFonts w:hint="eastAsia"/>
          <w:spacing w:val="-3"/>
          <w:sz w:val="32"/>
          <w:szCs w:val="32"/>
        </w:rPr>
        <w:t>千瓦时。</w:t>
      </w:r>
    </w:p>
    <w:p>
      <w:pPr>
        <w:spacing w:line="588" w:lineRule="exact"/>
        <w:ind w:firstLine="628" w:firstLineChars="200"/>
        <w:rPr>
          <w:spacing w:val="-3"/>
          <w:sz w:val="32"/>
          <w:szCs w:val="32"/>
        </w:rPr>
      </w:pPr>
      <w:r>
        <w:rPr>
          <w:rFonts w:hint="eastAsia"/>
          <w:spacing w:val="-3"/>
          <w:sz w:val="32"/>
          <w:szCs w:val="32"/>
        </w:rPr>
        <w:t>（</w:t>
      </w:r>
      <w:r>
        <w:rPr>
          <w:spacing w:val="-3"/>
          <w:sz w:val="32"/>
          <w:szCs w:val="32"/>
        </w:rPr>
        <w:t>2</w:t>
      </w:r>
      <w:r>
        <w:rPr>
          <w:rFonts w:hint="eastAsia"/>
          <w:spacing w:val="-3"/>
          <w:sz w:val="32"/>
          <w:szCs w:val="32"/>
        </w:rPr>
        <w:t>）自发自用、余电上网工商业分布式光伏发电项目：修正后的电价</w:t>
      </w:r>
      <w:r>
        <w:rPr>
          <w:spacing w:val="-3"/>
          <w:sz w:val="32"/>
          <w:szCs w:val="32"/>
        </w:rPr>
        <w:t>=</w:t>
      </w:r>
      <w:r>
        <w:rPr>
          <w:rFonts w:hint="eastAsia"/>
          <w:spacing w:val="-3"/>
          <w:sz w:val="32"/>
          <w:szCs w:val="32"/>
        </w:rPr>
        <w:t>申报电价</w:t>
      </w:r>
      <w:r>
        <w:rPr>
          <w:spacing w:val="-3"/>
          <w:sz w:val="32"/>
          <w:szCs w:val="32"/>
        </w:rPr>
        <w:t>-</w:t>
      </w:r>
      <w:r>
        <w:rPr>
          <w:rFonts w:hint="eastAsia"/>
          <w:spacing w:val="-3"/>
          <w:sz w:val="32"/>
          <w:szCs w:val="32"/>
        </w:rPr>
        <w:t>所在省份燃煤标杆电价</w:t>
      </w:r>
      <w:r>
        <w:rPr>
          <w:spacing w:val="-3"/>
          <w:sz w:val="32"/>
          <w:szCs w:val="32"/>
        </w:rPr>
        <w:t>+0.3</w:t>
      </w:r>
      <w:r>
        <w:rPr>
          <w:rFonts w:hint="eastAsia"/>
          <w:spacing w:val="-3"/>
          <w:sz w:val="32"/>
          <w:szCs w:val="32"/>
        </w:rPr>
        <w:t>元</w:t>
      </w:r>
      <w:r>
        <w:rPr>
          <w:spacing w:val="-3"/>
          <w:sz w:val="32"/>
          <w:szCs w:val="32"/>
        </w:rPr>
        <w:t>/</w:t>
      </w:r>
      <w:r>
        <w:rPr>
          <w:rFonts w:hint="eastAsia"/>
          <w:spacing w:val="-3"/>
          <w:sz w:val="32"/>
          <w:szCs w:val="32"/>
        </w:rPr>
        <w:t>千瓦时，其中燃煤标杆电价不足</w:t>
      </w:r>
      <w:r>
        <w:rPr>
          <w:spacing w:val="-3"/>
          <w:sz w:val="32"/>
          <w:szCs w:val="32"/>
        </w:rPr>
        <w:t>0.3</w:t>
      </w:r>
      <w:r>
        <w:rPr>
          <w:rFonts w:hint="eastAsia"/>
          <w:spacing w:val="-3"/>
          <w:sz w:val="32"/>
          <w:szCs w:val="32"/>
        </w:rPr>
        <w:t>元</w:t>
      </w:r>
      <w:r>
        <w:rPr>
          <w:spacing w:val="-3"/>
          <w:sz w:val="32"/>
          <w:szCs w:val="32"/>
        </w:rPr>
        <w:t>/</w:t>
      </w:r>
      <w:r>
        <w:rPr>
          <w:rFonts w:hint="eastAsia"/>
          <w:spacing w:val="-3"/>
          <w:sz w:val="32"/>
          <w:szCs w:val="32"/>
        </w:rPr>
        <w:t>千瓦时地区的项目，申报电价不进行修正。</w:t>
      </w:r>
    </w:p>
    <w:p>
      <w:pPr>
        <w:spacing w:line="588" w:lineRule="exact"/>
        <w:ind w:firstLine="628" w:firstLineChars="200"/>
        <w:rPr>
          <w:spacing w:val="-3"/>
          <w:sz w:val="32"/>
          <w:szCs w:val="32"/>
        </w:rPr>
      </w:pPr>
      <w:r>
        <w:rPr>
          <w:rFonts w:hint="eastAsia"/>
          <w:spacing w:val="-3"/>
          <w:sz w:val="32"/>
          <w:szCs w:val="32"/>
        </w:rPr>
        <w:t>（</w:t>
      </w:r>
      <w:r>
        <w:rPr>
          <w:spacing w:val="-3"/>
          <w:sz w:val="32"/>
          <w:szCs w:val="32"/>
        </w:rPr>
        <w:t>3</w:t>
      </w:r>
      <w:r>
        <w:rPr>
          <w:rFonts w:hint="eastAsia"/>
          <w:spacing w:val="-3"/>
          <w:sz w:val="32"/>
          <w:szCs w:val="32"/>
        </w:rPr>
        <w:t>）申报电价以0.1厘/千瓦时</w:t>
      </w:r>
      <w:r>
        <w:rPr>
          <w:spacing w:val="-3"/>
          <w:sz w:val="32"/>
          <w:szCs w:val="32"/>
        </w:rPr>
        <w:t>为最小报价单位。</w:t>
      </w:r>
    </w:p>
    <w:p>
      <w:pPr>
        <w:spacing w:line="588" w:lineRule="exact"/>
        <w:ind w:firstLine="628" w:firstLineChars="200"/>
        <w:rPr>
          <w:spacing w:val="-3"/>
          <w:sz w:val="32"/>
          <w:szCs w:val="32"/>
        </w:rPr>
      </w:pPr>
      <w:r>
        <w:rPr>
          <w:rFonts w:hint="eastAsia"/>
          <w:spacing w:val="-3"/>
          <w:sz w:val="32"/>
          <w:szCs w:val="32"/>
        </w:rPr>
        <w:t>修正后上网电价相同的项目根据各项目装机容量从小到大排序，直至入选项目补贴总额达到国家确定的当年新增项目补贴总额限额为止，并对外公示、发布项目名单和各项目补贴标准。</w:t>
      </w:r>
    </w:p>
    <w:p>
      <w:pPr>
        <w:spacing w:line="588" w:lineRule="exact"/>
        <w:ind w:firstLine="628" w:firstLineChars="200"/>
        <w:rPr>
          <w:spacing w:val="-3"/>
          <w:sz w:val="32"/>
          <w:szCs w:val="32"/>
        </w:rPr>
      </w:pPr>
      <w:r>
        <w:rPr>
          <w:rFonts w:hint="eastAsia"/>
          <w:spacing w:val="-3"/>
          <w:sz w:val="32"/>
          <w:szCs w:val="32"/>
        </w:rPr>
        <w:t>业主在自有产权建筑物或场地自建光伏发电项目可不进行项目业主竞争配置，工商业屋顶光伏和企业已开展前期工作的项目，经地方政府确认后可不进行项目业主竞争配置，上述项目在业主明确上网电价报价后，均可通过省级能源主管部门申报国家补贴竞价。</w:t>
      </w:r>
    </w:p>
    <w:p>
      <w:pPr>
        <w:spacing w:line="588" w:lineRule="exact"/>
        <w:ind w:firstLine="628" w:firstLineChars="200"/>
        <w:rPr>
          <w:spacing w:val="-3"/>
          <w:sz w:val="32"/>
          <w:szCs w:val="32"/>
        </w:rPr>
      </w:pPr>
      <w:r>
        <w:rPr>
          <w:spacing w:val="-3"/>
          <w:sz w:val="32"/>
          <w:szCs w:val="32"/>
        </w:rPr>
        <w:t>5.</w:t>
      </w:r>
      <w:r>
        <w:rPr>
          <w:rFonts w:hint="eastAsia"/>
          <w:spacing w:val="-3"/>
          <w:sz w:val="32"/>
          <w:szCs w:val="32"/>
        </w:rPr>
        <w:t>项目业主依法依规办理相关手续、进行项目建设，在国家规定期限内建成并网，按申报确认的上网电价享受国家补贴。</w:t>
      </w:r>
    </w:p>
    <w:p>
      <w:pPr>
        <w:spacing w:line="588" w:lineRule="exact"/>
        <w:ind w:firstLine="628" w:firstLineChars="200"/>
        <w:rPr>
          <w:spacing w:val="-3"/>
          <w:sz w:val="32"/>
          <w:szCs w:val="32"/>
        </w:rPr>
      </w:pPr>
      <w:r>
        <w:rPr>
          <w:rFonts w:hint="eastAsia" w:eastAsia="楷体_GB2312"/>
          <w:spacing w:val="-3"/>
          <w:sz w:val="32"/>
          <w:szCs w:val="32"/>
        </w:rPr>
        <w:t>（四）补贴申报和竞价安排。</w:t>
      </w:r>
      <w:r>
        <w:rPr>
          <w:rFonts w:hint="eastAsia"/>
          <w:spacing w:val="-3"/>
          <w:sz w:val="32"/>
          <w:szCs w:val="32"/>
        </w:rPr>
        <w:t>补贴申报和竞价原则上一年组织一次。</w:t>
      </w:r>
    </w:p>
    <w:p>
      <w:pPr>
        <w:spacing w:line="588" w:lineRule="exact"/>
        <w:ind w:firstLine="628" w:firstLineChars="200"/>
        <w:rPr>
          <w:rFonts w:eastAsia="黑体"/>
          <w:spacing w:val="-3"/>
          <w:sz w:val="32"/>
          <w:szCs w:val="32"/>
        </w:rPr>
      </w:pPr>
      <w:r>
        <w:rPr>
          <w:rFonts w:hint="eastAsia" w:eastAsia="黑体"/>
          <w:spacing w:val="-3"/>
          <w:sz w:val="32"/>
          <w:szCs w:val="32"/>
        </w:rPr>
        <w:t>五、有关要求</w:t>
      </w:r>
    </w:p>
    <w:p>
      <w:pPr>
        <w:spacing w:line="588" w:lineRule="exact"/>
        <w:ind w:firstLine="628" w:firstLineChars="200"/>
        <w:rPr>
          <w:spacing w:val="-3"/>
          <w:sz w:val="32"/>
          <w:szCs w:val="32"/>
        </w:rPr>
      </w:pPr>
      <w:r>
        <w:rPr>
          <w:rFonts w:hint="eastAsia" w:eastAsia="楷体_GB2312"/>
          <w:spacing w:val="-3"/>
          <w:sz w:val="32"/>
          <w:szCs w:val="32"/>
        </w:rPr>
        <w:t>（一）严格预警管理。</w:t>
      </w:r>
      <w:r>
        <w:rPr>
          <w:rFonts w:hint="eastAsia"/>
          <w:spacing w:val="-3"/>
          <w:sz w:val="32"/>
          <w:szCs w:val="32"/>
        </w:rPr>
        <w:t>新建光伏发电项目必须符合国家和本地区的相关规划，以及市场环境监测评价等管理要求，</w:t>
      </w:r>
      <w:r>
        <w:rPr>
          <w:rFonts w:hint="eastAsia"/>
          <w:sz w:val="32"/>
          <w:szCs w:val="32"/>
        </w:rPr>
        <w:t>严禁“先建先得”</w:t>
      </w:r>
      <w:r>
        <w:rPr>
          <w:rFonts w:hint="eastAsia"/>
          <w:spacing w:val="-3"/>
          <w:sz w:val="32"/>
          <w:szCs w:val="32"/>
        </w:rPr>
        <w:t>。监测评价结果为红色的地区，除光伏扶贫项目、已安排建设的平价上网示范项目及通过跨省跨区输电通道外送消纳项目外，原则上不安排新建项目。监测评价结果为橙色的地区，在提出有效措施保障改善市场环境的前提下合理调控新建项目。监测评价结果为绿色的地区，可在落实接网消纳条件的基础上有序推进项目建设。西藏新建光伏发电项目，由自治区按照全部电力电量在区内消纳及监测预警等管理要求自行管理。</w:t>
      </w:r>
    </w:p>
    <w:p>
      <w:pPr>
        <w:spacing w:line="588" w:lineRule="exact"/>
        <w:ind w:firstLine="628" w:firstLineChars="200"/>
        <w:rPr>
          <w:spacing w:val="-3"/>
          <w:sz w:val="32"/>
          <w:szCs w:val="32"/>
        </w:rPr>
      </w:pPr>
      <w:r>
        <w:rPr>
          <w:rFonts w:hint="eastAsia" w:eastAsia="楷体_GB2312"/>
          <w:spacing w:val="-3"/>
          <w:sz w:val="32"/>
          <w:szCs w:val="32"/>
        </w:rPr>
        <w:t>（二）明确建设期限。</w:t>
      </w:r>
      <w:r>
        <w:rPr>
          <w:rFonts w:hint="eastAsia"/>
          <w:spacing w:val="-3"/>
          <w:sz w:val="32"/>
          <w:szCs w:val="32"/>
        </w:rPr>
        <w:t>落实企业投资项目承诺制，列入国家补贴范围的光伏发电项目，应在申报的预计投产时间所在的季度末之前全容量建成并网，逾期未建成并网的，每逾期一个季度并网电价补贴降低</w:t>
      </w:r>
      <w:r>
        <w:rPr>
          <w:spacing w:val="-3"/>
          <w:sz w:val="32"/>
          <w:szCs w:val="32"/>
        </w:rPr>
        <w:t>0.01</w:t>
      </w:r>
      <w:r>
        <w:rPr>
          <w:rFonts w:hint="eastAsia"/>
          <w:spacing w:val="-3"/>
          <w:sz w:val="32"/>
          <w:szCs w:val="32"/>
        </w:rPr>
        <w:t>元</w:t>
      </w:r>
      <w:r>
        <w:rPr>
          <w:spacing w:val="-3"/>
          <w:sz w:val="32"/>
          <w:szCs w:val="32"/>
        </w:rPr>
        <w:t>/</w:t>
      </w:r>
      <w:r>
        <w:rPr>
          <w:rFonts w:hint="eastAsia"/>
          <w:spacing w:val="-3"/>
          <w:sz w:val="32"/>
          <w:szCs w:val="32"/>
        </w:rPr>
        <w:t>千瓦时。在申报投产所在季度后两个季度内仍未建成并网的，取消项目补贴资格，并作为各地光伏发电市场环境监测评价和下一年度申报的重要因素。各省级能源主管部门应在竞争配置和项目建设阶段采取适宜方式和切实有效措施，保障项目落实和如期建成并网。</w:t>
      </w:r>
    </w:p>
    <w:p>
      <w:pPr>
        <w:spacing w:line="588" w:lineRule="exact"/>
        <w:ind w:firstLine="628" w:firstLineChars="200"/>
        <w:rPr>
          <w:rFonts w:eastAsia="楷体_GB2312"/>
          <w:spacing w:val="-3"/>
          <w:sz w:val="32"/>
          <w:szCs w:val="32"/>
        </w:rPr>
      </w:pPr>
      <w:r>
        <w:rPr>
          <w:rFonts w:hint="eastAsia" w:eastAsia="楷体_GB2312"/>
          <w:spacing w:val="-3"/>
          <w:sz w:val="32"/>
          <w:szCs w:val="32"/>
        </w:rPr>
        <w:t>（三）做好新老政策衔接</w:t>
      </w:r>
    </w:p>
    <w:p>
      <w:pPr>
        <w:spacing w:line="588" w:lineRule="exact"/>
        <w:ind w:firstLine="628" w:firstLineChars="200"/>
        <w:rPr>
          <w:spacing w:val="-3"/>
          <w:sz w:val="32"/>
          <w:szCs w:val="32"/>
        </w:rPr>
      </w:pPr>
      <w:r>
        <w:rPr>
          <w:spacing w:val="-3"/>
          <w:sz w:val="32"/>
          <w:szCs w:val="32"/>
        </w:rPr>
        <w:t>1.</w:t>
      </w:r>
      <w:r>
        <w:rPr>
          <w:rFonts w:hint="eastAsia"/>
          <w:spacing w:val="-3"/>
          <w:sz w:val="32"/>
          <w:szCs w:val="32"/>
        </w:rPr>
        <w:t>列入以往国家建设规模、已开工但未建成并网的光伏发电项目，执行国家相关价格政策，</w:t>
      </w:r>
      <w:r>
        <w:rPr>
          <w:spacing w:val="-3"/>
          <w:sz w:val="32"/>
          <w:szCs w:val="32"/>
        </w:rPr>
        <w:t>2019</w:t>
      </w:r>
      <w:r>
        <w:rPr>
          <w:rFonts w:hint="eastAsia"/>
          <w:spacing w:val="-3"/>
          <w:sz w:val="32"/>
          <w:szCs w:val="32"/>
        </w:rPr>
        <w:t>年底仍不能全容量建成并网的光伏发电项目（含二期光伏发电领跑基地项目），不再纳入国家补贴范围。</w:t>
      </w:r>
    </w:p>
    <w:p>
      <w:pPr>
        <w:spacing w:line="588" w:lineRule="exact"/>
        <w:ind w:firstLine="628" w:firstLineChars="200"/>
        <w:rPr>
          <w:spacing w:val="-3"/>
          <w:sz w:val="32"/>
          <w:szCs w:val="32"/>
        </w:rPr>
      </w:pPr>
      <w:r>
        <w:rPr>
          <w:spacing w:val="-3"/>
          <w:sz w:val="32"/>
          <w:szCs w:val="32"/>
        </w:rPr>
        <w:t>2.</w:t>
      </w:r>
      <w:r>
        <w:rPr>
          <w:rFonts w:hint="eastAsia"/>
          <w:spacing w:val="-3"/>
          <w:sz w:val="32"/>
          <w:szCs w:val="32"/>
        </w:rPr>
        <w:t>列入以往国家建设规模、</w:t>
      </w:r>
      <w:r>
        <w:rPr>
          <w:rFonts w:hint="eastAsia"/>
          <w:sz w:val="32"/>
          <w:szCs w:val="32"/>
        </w:rPr>
        <w:t>未开工的光伏发电项目，</w:t>
      </w:r>
      <w:r>
        <w:rPr>
          <w:rFonts w:hint="eastAsia"/>
          <w:spacing w:val="-3"/>
          <w:sz w:val="32"/>
          <w:szCs w:val="32"/>
        </w:rPr>
        <w:t>执行国家相关价格政策。</w:t>
      </w:r>
      <w:r>
        <w:rPr>
          <w:spacing w:val="-3"/>
          <w:sz w:val="32"/>
          <w:szCs w:val="32"/>
        </w:rPr>
        <w:t>2020</w:t>
      </w:r>
      <w:r>
        <w:rPr>
          <w:rFonts w:hint="eastAsia"/>
          <w:spacing w:val="-3"/>
          <w:sz w:val="32"/>
          <w:szCs w:val="32"/>
        </w:rPr>
        <w:t>年底仍不能全容量建成并网的光伏发电项目（含二期光伏发电领跑基地项目），不再纳入国家补贴范围。对</w:t>
      </w:r>
      <w:r>
        <w:rPr>
          <w:rFonts w:hint="eastAsia"/>
          <w:sz w:val="32"/>
          <w:szCs w:val="32"/>
        </w:rPr>
        <w:t>因红色预警不具备建设条件以及国家另有规定情形的，可以适当放宽建设期限。</w:t>
      </w:r>
    </w:p>
    <w:p>
      <w:pPr>
        <w:spacing w:line="588" w:lineRule="exact"/>
        <w:ind w:firstLine="628" w:firstLineChars="200"/>
        <w:rPr>
          <w:spacing w:val="-3"/>
          <w:sz w:val="32"/>
          <w:szCs w:val="32"/>
        </w:rPr>
      </w:pPr>
      <w:r>
        <w:rPr>
          <w:spacing w:val="-3"/>
          <w:sz w:val="32"/>
          <w:szCs w:val="32"/>
        </w:rPr>
        <w:t>3.</w:t>
      </w:r>
      <w:r>
        <w:rPr>
          <w:rFonts w:hint="eastAsia"/>
          <w:spacing w:val="-3"/>
          <w:sz w:val="32"/>
          <w:szCs w:val="32"/>
        </w:rPr>
        <w:t>国家明确的跨省跨区输电通道配套光伏项目，本通知发布前已按相关规定竞争配置确定项目业主和明确上网电价的，继续执行原有政策；本通知发布前已核准输电通道建设、明确配套光伏装机容量但未明确项目业主和上网电价的，按国家能源局相关要求（另行制定）由地方单独组织竞争配置确定项目业主和上网电价；已明确项目业主但未明确上网电价的，按国家相关价格政策执行。</w:t>
      </w:r>
    </w:p>
    <w:p>
      <w:pPr>
        <w:spacing w:line="588" w:lineRule="exact"/>
        <w:ind w:firstLine="628" w:firstLineChars="200"/>
        <w:rPr>
          <w:spacing w:val="-3"/>
          <w:sz w:val="32"/>
          <w:szCs w:val="32"/>
        </w:rPr>
      </w:pPr>
      <w:r>
        <w:rPr>
          <w:spacing w:val="-3"/>
          <w:sz w:val="32"/>
          <w:szCs w:val="32"/>
        </w:rPr>
        <w:t>4.</w:t>
      </w:r>
      <w:r>
        <w:rPr>
          <w:rFonts w:hint="eastAsia"/>
          <w:spacing w:val="-3"/>
          <w:sz w:val="32"/>
          <w:szCs w:val="32"/>
        </w:rPr>
        <w:t>领跑基地、示范基地等单独竞争配置的项目不进行补贴申报竞争排序，执行各项目竞争确定的上网电价和相应补贴标准。国家光伏发电实证基地项目另行规定。</w:t>
      </w:r>
    </w:p>
    <w:p>
      <w:pPr>
        <w:spacing w:line="588" w:lineRule="exact"/>
        <w:ind w:firstLine="628" w:firstLineChars="200"/>
        <w:rPr>
          <w:spacing w:val="-3"/>
          <w:sz w:val="32"/>
          <w:szCs w:val="32"/>
        </w:rPr>
      </w:pPr>
      <w:r>
        <w:rPr>
          <w:spacing w:val="-3"/>
          <w:sz w:val="32"/>
          <w:szCs w:val="32"/>
        </w:rPr>
        <w:t>5.</w:t>
      </w:r>
      <w:r>
        <w:rPr>
          <w:rFonts w:hint="eastAsia"/>
          <w:spacing w:val="-3"/>
          <w:sz w:val="32"/>
          <w:szCs w:val="32"/>
        </w:rPr>
        <w:t>各类示范省、示范区、示范县、示范城市建设的光伏发电项目，已发文下达建设规模的，按已列入以往国家建设规模的相关电价政策执行。</w:t>
      </w:r>
    </w:p>
    <w:p>
      <w:pPr>
        <w:spacing w:line="588" w:lineRule="exact"/>
        <w:ind w:firstLine="628" w:firstLineChars="200"/>
        <w:rPr>
          <w:rFonts w:eastAsia="黑体"/>
          <w:spacing w:val="-3"/>
          <w:sz w:val="32"/>
          <w:szCs w:val="32"/>
        </w:rPr>
      </w:pPr>
      <w:r>
        <w:rPr>
          <w:rFonts w:hint="eastAsia" w:eastAsia="黑体"/>
          <w:spacing w:val="-3"/>
          <w:sz w:val="32"/>
          <w:szCs w:val="32"/>
        </w:rPr>
        <w:t>六、</w:t>
      </w:r>
      <w:r>
        <w:rPr>
          <w:rFonts w:eastAsia="黑体"/>
          <w:spacing w:val="-3"/>
          <w:sz w:val="32"/>
          <w:szCs w:val="32"/>
        </w:rPr>
        <w:t>2019年</w:t>
      </w:r>
      <w:r>
        <w:rPr>
          <w:rFonts w:hint="eastAsia" w:eastAsia="黑体"/>
          <w:spacing w:val="-3"/>
          <w:sz w:val="32"/>
          <w:szCs w:val="32"/>
        </w:rPr>
        <w:t>工作安排</w:t>
      </w:r>
    </w:p>
    <w:p>
      <w:pPr>
        <w:spacing w:line="588" w:lineRule="exact"/>
        <w:ind w:firstLine="628" w:firstLineChars="200"/>
        <w:rPr>
          <w:spacing w:val="-3"/>
          <w:sz w:val="32"/>
          <w:szCs w:val="32"/>
        </w:rPr>
      </w:pPr>
      <w:r>
        <w:rPr>
          <w:rFonts w:hint="eastAsia"/>
          <w:spacing w:val="-3"/>
          <w:sz w:val="32"/>
          <w:szCs w:val="32"/>
        </w:rPr>
        <w:t>根据财政部《可再生能源电价附加补助资金管理暂行办法》等要求，</w:t>
      </w:r>
      <w:r>
        <w:rPr>
          <w:spacing w:val="-3"/>
          <w:sz w:val="32"/>
          <w:szCs w:val="32"/>
        </w:rPr>
        <w:t>2019</w:t>
      </w:r>
      <w:r>
        <w:rPr>
          <w:rFonts w:hint="eastAsia"/>
          <w:spacing w:val="-3"/>
          <w:sz w:val="32"/>
          <w:szCs w:val="32"/>
        </w:rPr>
        <w:t>年度安排新建光伏项目补贴预算总额度为</w:t>
      </w:r>
      <w:r>
        <w:rPr>
          <w:spacing w:val="-3"/>
          <w:sz w:val="32"/>
          <w:szCs w:val="32"/>
        </w:rPr>
        <w:t>30</w:t>
      </w:r>
      <w:r>
        <w:rPr>
          <w:rFonts w:hint="eastAsia"/>
          <w:spacing w:val="-3"/>
          <w:sz w:val="32"/>
          <w:szCs w:val="32"/>
        </w:rPr>
        <w:t>亿元，其中，</w:t>
      </w:r>
      <w:r>
        <w:rPr>
          <w:spacing w:val="-3"/>
          <w:sz w:val="32"/>
          <w:szCs w:val="32"/>
        </w:rPr>
        <w:t>7.5</w:t>
      </w:r>
      <w:r>
        <w:rPr>
          <w:rFonts w:hint="eastAsia"/>
          <w:spacing w:val="-3"/>
          <w:sz w:val="32"/>
          <w:szCs w:val="32"/>
        </w:rPr>
        <w:t>亿元用于户用光伏（折合</w:t>
      </w:r>
      <w:r>
        <w:rPr>
          <w:spacing w:val="-3"/>
          <w:sz w:val="32"/>
          <w:szCs w:val="32"/>
        </w:rPr>
        <w:t>350</w:t>
      </w:r>
      <w:r>
        <w:rPr>
          <w:rFonts w:hint="eastAsia"/>
          <w:spacing w:val="-3"/>
          <w:sz w:val="32"/>
          <w:szCs w:val="32"/>
        </w:rPr>
        <w:t>万千瓦）、补贴竞价项目按</w:t>
      </w:r>
      <w:r>
        <w:rPr>
          <w:spacing w:val="-3"/>
          <w:sz w:val="32"/>
          <w:szCs w:val="32"/>
        </w:rPr>
        <w:t>22.5</w:t>
      </w:r>
      <w:r>
        <w:rPr>
          <w:rFonts w:hint="eastAsia"/>
          <w:spacing w:val="-3"/>
          <w:sz w:val="32"/>
          <w:szCs w:val="32"/>
        </w:rPr>
        <w:t>亿元补贴（不含光伏扶贫）总额组织项目建设。在全国排序累计补贴总额时，各项目年补贴额为“度电补贴强度×装机×年利用小时数”，其中年利用小时数按《关于做好风电、光伏发电全额保障性收购管理工作的通知》（发改能源〔</w:t>
      </w:r>
      <w:r>
        <w:rPr>
          <w:spacing w:val="-3"/>
          <w:sz w:val="32"/>
          <w:szCs w:val="32"/>
        </w:rPr>
        <w:t>2016</w:t>
      </w:r>
      <w:r>
        <w:rPr>
          <w:rFonts w:hint="eastAsia"/>
          <w:spacing w:val="-3"/>
          <w:sz w:val="32"/>
          <w:szCs w:val="32"/>
        </w:rPr>
        <w:t>〕</w:t>
      </w:r>
      <w:r>
        <w:rPr>
          <w:spacing w:val="-3"/>
          <w:sz w:val="32"/>
          <w:szCs w:val="32"/>
        </w:rPr>
        <w:t>1150</w:t>
      </w:r>
      <w:r>
        <w:rPr>
          <w:rFonts w:hint="eastAsia"/>
          <w:spacing w:val="-3"/>
          <w:sz w:val="32"/>
          <w:szCs w:val="32"/>
        </w:rPr>
        <w:t>号）规定的最低保障收购年利用小时数计算，未规定最低保障收购年利用小时数的，按</w:t>
      </w:r>
      <w:r>
        <w:rPr>
          <w:spacing w:val="-3"/>
          <w:sz w:val="32"/>
          <w:szCs w:val="32"/>
        </w:rPr>
        <w:t>II</w:t>
      </w:r>
      <w:r>
        <w:rPr>
          <w:rFonts w:hint="eastAsia"/>
          <w:spacing w:val="-3"/>
          <w:sz w:val="32"/>
          <w:szCs w:val="32"/>
        </w:rPr>
        <w:t>类地区</w:t>
      </w:r>
      <w:r>
        <w:rPr>
          <w:spacing w:val="-3"/>
          <w:sz w:val="32"/>
          <w:szCs w:val="32"/>
        </w:rPr>
        <w:t>1300</w:t>
      </w:r>
      <w:r>
        <w:rPr>
          <w:rFonts w:hint="eastAsia"/>
          <w:spacing w:val="-3"/>
          <w:sz w:val="32"/>
          <w:szCs w:val="32"/>
        </w:rPr>
        <w:t>、</w:t>
      </w:r>
      <w:r>
        <w:rPr>
          <w:spacing w:val="-3"/>
          <w:sz w:val="32"/>
          <w:szCs w:val="32"/>
        </w:rPr>
        <w:t>III</w:t>
      </w:r>
      <w:r>
        <w:rPr>
          <w:rFonts w:hint="eastAsia"/>
          <w:spacing w:val="-3"/>
          <w:sz w:val="32"/>
          <w:szCs w:val="32"/>
        </w:rPr>
        <w:t>类地区</w:t>
      </w:r>
      <w:r>
        <w:rPr>
          <w:spacing w:val="-3"/>
          <w:sz w:val="32"/>
          <w:szCs w:val="32"/>
        </w:rPr>
        <w:t>1100</w:t>
      </w:r>
      <w:r>
        <w:rPr>
          <w:rFonts w:hint="eastAsia"/>
          <w:spacing w:val="-3"/>
          <w:sz w:val="32"/>
          <w:szCs w:val="32"/>
        </w:rPr>
        <w:t>基础小时数计算。</w:t>
      </w:r>
    </w:p>
    <w:p>
      <w:pPr>
        <w:spacing w:line="588" w:lineRule="exact"/>
        <w:ind w:firstLine="628" w:firstLineChars="200"/>
        <w:rPr>
          <w:spacing w:val="-3"/>
          <w:sz w:val="32"/>
          <w:szCs w:val="32"/>
        </w:rPr>
      </w:pPr>
      <w:r>
        <w:rPr>
          <w:rFonts w:hint="eastAsia"/>
          <w:spacing w:val="-3"/>
          <w:sz w:val="32"/>
          <w:szCs w:val="32"/>
        </w:rPr>
        <w:t>请各省（区、市）能源主管部门在地方组织竞争配置项目业主、对自愿申报国家补贴项目进行审核等工作基础上，于</w:t>
      </w:r>
      <w:r>
        <w:rPr>
          <w:spacing w:val="-3"/>
          <w:sz w:val="32"/>
          <w:szCs w:val="32"/>
        </w:rPr>
        <w:t>2019</w:t>
      </w:r>
      <w:r>
        <w:rPr>
          <w:rFonts w:hint="eastAsia"/>
          <w:spacing w:val="-3"/>
          <w:sz w:val="32"/>
          <w:szCs w:val="32"/>
        </w:rPr>
        <w:t>年</w:t>
      </w:r>
      <w:r>
        <w:rPr>
          <w:spacing w:val="-3"/>
          <w:sz w:val="32"/>
          <w:szCs w:val="32"/>
        </w:rPr>
        <w:t>X</w:t>
      </w:r>
      <w:r>
        <w:rPr>
          <w:rFonts w:hint="eastAsia"/>
          <w:spacing w:val="-3"/>
          <w:sz w:val="32"/>
          <w:szCs w:val="32"/>
        </w:rPr>
        <w:t>月</w:t>
      </w:r>
      <w:r>
        <w:rPr>
          <w:spacing w:val="-3"/>
          <w:sz w:val="32"/>
          <w:szCs w:val="32"/>
        </w:rPr>
        <w:t>X</w:t>
      </w:r>
      <w:r>
        <w:rPr>
          <w:rFonts w:hint="eastAsia"/>
          <w:spacing w:val="-3"/>
          <w:sz w:val="32"/>
          <w:szCs w:val="32"/>
        </w:rPr>
        <w:t>日前按相关要求将</w:t>
      </w:r>
      <w:r>
        <w:rPr>
          <w:spacing w:val="-3"/>
          <w:sz w:val="32"/>
          <w:szCs w:val="32"/>
        </w:rPr>
        <w:t>2019</w:t>
      </w:r>
      <w:r>
        <w:rPr>
          <w:rFonts w:hint="eastAsia"/>
          <w:spacing w:val="-3"/>
          <w:sz w:val="32"/>
          <w:szCs w:val="32"/>
        </w:rPr>
        <w:t>年拟新建的补贴竞价项目、申报上网电价及相关信息报送国家能源局。</w:t>
      </w:r>
    </w:p>
    <w:p>
      <w:pPr>
        <w:spacing w:line="588" w:lineRule="exact"/>
        <w:ind w:firstLine="628" w:firstLineChars="200"/>
        <w:rPr>
          <w:spacing w:val="-3"/>
          <w:sz w:val="32"/>
          <w:szCs w:val="32"/>
        </w:rPr>
      </w:pPr>
      <w:r>
        <w:rPr>
          <w:rFonts w:hint="eastAsia"/>
          <w:spacing w:val="-3"/>
          <w:sz w:val="32"/>
          <w:szCs w:val="32"/>
        </w:rPr>
        <w:t>此前发布的有关光伏发电规模管理的文件规定，凡与本通知不一致的，以本通知为准。请各省（区、市）能源主管部门及各有关方面按照上述要求，认真做好光伏发电项目建设管理工作，共同促进光伏产业健康有序、高质量发展。</w:t>
      </w:r>
    </w:p>
    <w:p>
      <w:pPr>
        <w:spacing w:line="588" w:lineRule="exact"/>
        <w:ind w:firstLine="628" w:firstLineChars="200"/>
        <w:rPr>
          <w:spacing w:val="-3"/>
          <w:sz w:val="32"/>
          <w:szCs w:val="32"/>
        </w:rPr>
      </w:pPr>
    </w:p>
    <w:p>
      <w:pPr>
        <w:spacing w:line="588" w:lineRule="exact"/>
        <w:ind w:left="1559" w:leftChars="225" w:hanging="929" w:hangingChars="296"/>
        <w:rPr>
          <w:rFonts w:hint="eastAsia"/>
          <w:spacing w:val="-3"/>
          <w:sz w:val="32"/>
          <w:szCs w:val="32"/>
        </w:rPr>
      </w:pPr>
      <w:r>
        <w:rPr>
          <w:rFonts w:hint="eastAsia"/>
          <w:spacing w:val="-3"/>
          <w:sz w:val="32"/>
          <w:szCs w:val="32"/>
        </w:rPr>
        <w:t>附件：××省（区、市）光伏发电国家补贴项目申报材料提纲（参考范本）</w:t>
      </w:r>
    </w:p>
    <w:p>
      <w:pPr>
        <w:spacing w:line="588" w:lineRule="exact"/>
        <w:ind w:left="1559" w:leftChars="225" w:hanging="929" w:hangingChars="296"/>
        <w:rPr>
          <w:rFonts w:hint="eastAsia"/>
          <w:spacing w:val="-3"/>
          <w:sz w:val="32"/>
          <w:szCs w:val="32"/>
        </w:rPr>
      </w:pPr>
    </w:p>
    <w:p>
      <w:pPr>
        <w:adjustRightInd w:val="0"/>
        <w:snapToGrid w:val="0"/>
        <w:spacing w:line="588" w:lineRule="exact"/>
        <w:rPr>
          <w:rFonts w:ascii="黑体" w:hAnsi="Times New Roman" w:eastAsia="黑体" w:cs="Times New Roman"/>
          <w:spacing w:val="-3"/>
          <w:sz w:val="32"/>
          <w:szCs w:val="32"/>
        </w:rPr>
      </w:pPr>
      <w:r>
        <w:rPr>
          <w:rFonts w:hint="eastAsia" w:ascii="黑体" w:hAnsi="Times New Roman" w:eastAsia="黑体" w:cs="Times New Roman"/>
          <w:spacing w:val="-3"/>
          <w:sz w:val="32"/>
          <w:szCs w:val="32"/>
        </w:rPr>
        <w:t>附件</w:t>
      </w:r>
    </w:p>
    <w:p>
      <w:pPr>
        <w:adjustRightInd w:val="0"/>
        <w:snapToGrid w:val="0"/>
        <w:spacing w:line="588" w:lineRule="exact"/>
        <w:rPr>
          <w:rFonts w:ascii="黑体" w:hAnsi="Times New Roman" w:eastAsia="黑体" w:cs="Times New Roman"/>
          <w:spacing w:val="-3"/>
          <w:sz w:val="32"/>
          <w:szCs w:val="32"/>
        </w:rPr>
      </w:pPr>
    </w:p>
    <w:p>
      <w:pPr>
        <w:spacing w:line="588" w:lineRule="exact"/>
        <w:jc w:val="center"/>
        <w:outlineLvl w:val="0"/>
        <w:rPr>
          <w:rFonts w:ascii="方正小标宋_GBK" w:hAnsi="华文中宋" w:eastAsia="方正小标宋_GBK" w:cs="Times New Roman"/>
          <w:sz w:val="40"/>
          <w:szCs w:val="40"/>
        </w:rPr>
      </w:pPr>
      <w:r>
        <w:rPr>
          <w:rFonts w:hint="eastAsia" w:ascii="方正小标宋_GBK" w:hAnsi="华文中宋" w:eastAsia="方正小标宋_GBK" w:cs="Times New Roman"/>
          <w:sz w:val="40"/>
          <w:szCs w:val="40"/>
        </w:rPr>
        <w:t>××省（区、市）光伏发电国家补贴项目</w:t>
      </w:r>
    </w:p>
    <w:p>
      <w:pPr>
        <w:spacing w:line="588" w:lineRule="exact"/>
        <w:jc w:val="center"/>
        <w:outlineLvl w:val="0"/>
        <w:rPr>
          <w:rFonts w:ascii="方正小标宋_GBK" w:hAnsi="华文中宋" w:eastAsia="方正小标宋_GBK" w:cs="Times New Roman"/>
          <w:sz w:val="40"/>
          <w:szCs w:val="40"/>
        </w:rPr>
      </w:pPr>
      <w:r>
        <w:rPr>
          <w:rFonts w:hint="eastAsia" w:ascii="方正小标宋_GBK" w:hAnsi="华文中宋" w:eastAsia="方正小标宋_GBK" w:cs="Times New Roman"/>
          <w:sz w:val="40"/>
          <w:szCs w:val="40"/>
        </w:rPr>
        <w:t>申报材料提纲</w:t>
      </w:r>
    </w:p>
    <w:p>
      <w:pPr>
        <w:spacing w:line="588" w:lineRule="exact"/>
        <w:jc w:val="center"/>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（参考范本）</w:t>
      </w:r>
    </w:p>
    <w:p>
      <w:pPr>
        <w:spacing w:line="588" w:lineRule="exact"/>
        <w:jc w:val="center"/>
        <w:rPr>
          <w:rFonts w:ascii="Times New Roman" w:hAnsi="Times New Roman" w:eastAsia="方正仿宋_GBK" w:cs="Times New Roman"/>
          <w:sz w:val="30"/>
          <w:szCs w:val="30"/>
        </w:rPr>
      </w:pPr>
    </w:p>
    <w:p>
      <w:pPr>
        <w:adjustRightInd w:val="0"/>
        <w:snapToGrid w:val="0"/>
        <w:spacing w:line="588" w:lineRule="exact"/>
        <w:ind w:firstLine="628" w:firstLineChars="200"/>
        <w:outlineLvl w:val="0"/>
        <w:rPr>
          <w:rFonts w:ascii="黑体" w:hAnsi="黑体" w:eastAsia="黑体" w:cs="Times New Roman"/>
          <w:spacing w:val="-3"/>
          <w:sz w:val="32"/>
          <w:szCs w:val="32"/>
        </w:rPr>
      </w:pPr>
      <w:r>
        <w:rPr>
          <w:rFonts w:hint="eastAsia" w:ascii="黑体" w:hAnsi="黑体" w:eastAsia="黑体" w:cs="Times New Roman"/>
          <w:spacing w:val="-3"/>
          <w:sz w:val="32"/>
          <w:szCs w:val="32"/>
        </w:rPr>
        <w:t>一、基本情况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简要介绍本省（区、市）太阳能资源、规划、建设、运行、管理情况。主要包括：</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（一）太阳能资源情况：包括年平均太阳能辐射量、太阳能资源分区等。</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（二）规划情况：“十三五”光伏发电规划新增装机和总装机目标。</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（三）建设情况：本省（区、市）截至2</w:t>
      </w:r>
      <w:r>
        <w:rPr>
          <w:rFonts w:ascii="Times New Roman" w:hAnsi="Times New Roman" w:eastAsia="仿宋_GB2312" w:cs="Times New Roman"/>
          <w:spacing w:val="-3"/>
          <w:sz w:val="32"/>
          <w:szCs w:val="32"/>
        </w:rPr>
        <w:t>018</w:t>
      </w:r>
      <w:r>
        <w:rPr>
          <w:rFonts w:hint="eastAsia" w:ascii="Times New Roman" w:hAnsi="Times New Roman" w:eastAsia="仿宋_GB2312" w:cs="Times New Roman"/>
          <w:spacing w:val="-3"/>
          <w:sz w:val="32"/>
          <w:szCs w:val="32"/>
        </w:rPr>
        <w:t>年底光伏发电并网装机情况，包括总装机容量，以及集中式光伏电站、分布式光伏（分户用分布式和工商业分布式）等分类统计情况。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（四）运行情况：2018年光伏发电上网电量、利用小时数、弃光率，以及2017年和201</w:t>
      </w:r>
      <w:r>
        <w:rPr>
          <w:rFonts w:ascii="Times New Roman" w:hAnsi="Times New Roman" w:eastAsia="仿宋_GB2312" w:cs="Times New Roman"/>
          <w:spacing w:val="-3"/>
          <w:sz w:val="32"/>
          <w:szCs w:val="32"/>
        </w:rPr>
        <w:t>8</w:t>
      </w:r>
      <w:r>
        <w:rPr>
          <w:rFonts w:hint="eastAsia" w:ascii="Times New Roman" w:hAnsi="Times New Roman" w:eastAsia="仿宋_GB2312" w:cs="Times New Roman"/>
          <w:spacing w:val="-3"/>
          <w:sz w:val="32"/>
          <w:szCs w:val="32"/>
        </w:rPr>
        <w:t>年光伏发电市场环境监测评价结果及分析等。</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（五）消纳情况：简述2018年全省（区、市）光伏发电项目接网消纳、弃光、市场监测评价情况，分析存在问题及原因，并研究提出采取保障改善市场环境的有效措施。</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六）规划及政策落实情况：对照《国家能源局关于可再生能源发展“十三五”规划实施的指导意见》等文件要求，提供本省（区、市）分年度规模管理及相关政策落实情况，包括有无先建先得、超规模超规划问题及相关情况。</w:t>
      </w:r>
    </w:p>
    <w:p>
      <w:pPr>
        <w:adjustRightInd w:val="0"/>
        <w:snapToGrid w:val="0"/>
        <w:spacing w:line="588" w:lineRule="exact"/>
        <w:ind w:firstLine="628" w:firstLineChars="200"/>
        <w:outlineLvl w:val="0"/>
        <w:rPr>
          <w:rFonts w:ascii="黑体" w:hAnsi="黑体" w:eastAsia="黑体" w:cs="Times New Roman"/>
          <w:spacing w:val="-3"/>
          <w:sz w:val="32"/>
          <w:szCs w:val="32"/>
        </w:rPr>
      </w:pPr>
      <w:r>
        <w:rPr>
          <w:rFonts w:hint="eastAsia" w:ascii="黑体" w:hAnsi="黑体" w:eastAsia="黑体" w:cs="Times New Roman"/>
          <w:spacing w:val="-3"/>
          <w:sz w:val="32"/>
          <w:szCs w:val="32"/>
        </w:rPr>
        <w:t>二、国家补贴项目申报情况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（一）简述本次项目竞争性配置和补贴竞价申报、审核总体情况，包括：申报范围、工作组织、主要过程、审核相关情况，以及本次拟申报补贴项目总数量、总装机容量和预计年补贴资金总需求量。</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二）按普通光伏电站、工商业分布式光伏项目（全额上网模式）、工商业分布式光伏项目（自发自用、余电上网模式）三类分类描述申报项目情况，包括：汇总介绍每类申报项目总体情况（包括项目个数、总装机容量等），并分类统计申报项目申报上网电价范围、按装机加权平均上网电价、不同资源区平均上网电价（如果本省份分属两类资源区），测算申报项目、预计年上网电量和年补贴资金需求量。</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ascii="Times New Roman" w:hAnsi="Times New Roman" w:eastAsia="仿宋_GB2312" w:cs="Times New Roman"/>
          <w:spacing w:val="-3"/>
          <w:sz w:val="32"/>
          <w:szCs w:val="32"/>
        </w:rPr>
        <w:t>填报申报项目信息汇总表</w:t>
      </w:r>
      <w:r>
        <w:rPr>
          <w:rFonts w:hint="eastAsia" w:ascii="Times New Roman" w:hAnsi="Times New Roman" w:eastAsia="仿宋_GB2312" w:cs="Times New Roman"/>
          <w:spacing w:val="-3"/>
          <w:sz w:val="32"/>
          <w:szCs w:val="32"/>
        </w:rPr>
        <w:t>和各项目情况表，</w:t>
      </w:r>
      <w:r>
        <w:rPr>
          <w:rFonts w:ascii="Times New Roman" w:hAnsi="Times New Roman" w:eastAsia="仿宋_GB2312" w:cs="Times New Roman"/>
          <w:spacing w:val="-3"/>
          <w:sz w:val="32"/>
          <w:szCs w:val="32"/>
        </w:rPr>
        <w:t>详见附表</w:t>
      </w:r>
      <w:r>
        <w:rPr>
          <w:rFonts w:hint="eastAsia" w:ascii="Times New Roman" w:hAnsi="Times New Roman" w:eastAsia="仿宋_GB2312" w:cs="Times New Roman"/>
          <w:spacing w:val="-3"/>
          <w:sz w:val="32"/>
          <w:szCs w:val="32"/>
        </w:rPr>
        <w:t>1和附表2。</w:t>
      </w:r>
    </w:p>
    <w:p>
      <w:pPr>
        <w:adjustRightInd w:val="0"/>
        <w:snapToGrid w:val="0"/>
        <w:spacing w:line="588" w:lineRule="exact"/>
        <w:ind w:firstLine="628" w:firstLineChars="200"/>
        <w:rPr>
          <w:rFonts w:ascii="黑体" w:hAnsi="黑体" w:eastAsia="黑体" w:cs="Times New Roman"/>
          <w:spacing w:val="-3"/>
          <w:sz w:val="32"/>
          <w:szCs w:val="32"/>
        </w:rPr>
      </w:pPr>
      <w:r>
        <w:rPr>
          <w:rFonts w:hint="eastAsia" w:ascii="黑体" w:hAnsi="黑体" w:eastAsia="黑体" w:cs="Times New Roman"/>
          <w:spacing w:val="-3"/>
          <w:sz w:val="32"/>
          <w:szCs w:val="32"/>
        </w:rPr>
        <w:t>三、国家相关政策要求等落实情况</w:t>
      </w:r>
    </w:p>
    <w:p>
      <w:pPr>
        <w:adjustRightInd w:val="0"/>
        <w:snapToGrid w:val="0"/>
        <w:spacing w:line="588" w:lineRule="exact"/>
        <w:ind w:firstLine="628" w:firstLineChars="200"/>
        <w:outlineLvl w:val="0"/>
        <w:rPr>
          <w:rFonts w:ascii="楷体_GB2312" w:hAnsi="黑体" w:eastAsia="楷体_GB2312" w:cs="Times New Roman"/>
          <w:spacing w:val="-3"/>
          <w:sz w:val="32"/>
          <w:szCs w:val="32"/>
        </w:rPr>
      </w:pPr>
      <w:r>
        <w:rPr>
          <w:rFonts w:hint="eastAsia" w:ascii="楷体_GB2312" w:hAnsi="黑体" w:eastAsia="楷体_GB2312" w:cs="Times New Roman"/>
          <w:spacing w:val="-3"/>
          <w:sz w:val="32"/>
          <w:szCs w:val="32"/>
        </w:rPr>
        <w:t>（一）全省总体情况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1.接网消纳落实情况。简述本省（区、市）光伏发电保障性收购制度落实情况；结合本省（区、市）消纳情况简述本次全省申报项目消纳能力（光伏装机容量）、消纳区域和接网条件等。</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2.土地（场地）落实情况。简述本省（区、市）光伏发电土地（场地）资源条件，以及本次全省申报项目地区分布、土地（场地）类型和总体落实情况。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3.其他政策要求落实情况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（1）规划要求落实情况，包括申报项目全部实施后是否超过规划目标。</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（2）光伏发电市场环境监测评价相关要求落实情况。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（3）地方政府出台的光伏发电配套政策情况，包括光伏发电竞争性配置办法、提高光伏消纳能力相关政策、对土地类型及成本的承诺、综合服务保障体系等。</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（4）其他需要说明的情况或问题。</w:t>
      </w:r>
    </w:p>
    <w:p>
      <w:pPr>
        <w:adjustRightInd w:val="0"/>
        <w:snapToGrid w:val="0"/>
        <w:spacing w:line="588" w:lineRule="exact"/>
        <w:ind w:firstLine="628" w:firstLineChars="200"/>
        <w:rPr>
          <w:rFonts w:ascii="楷体_GB2312" w:hAnsi="黑体" w:eastAsia="楷体_GB2312" w:cs="Times New Roman"/>
          <w:spacing w:val="-3"/>
          <w:sz w:val="32"/>
          <w:szCs w:val="32"/>
        </w:rPr>
      </w:pPr>
      <w:r>
        <w:rPr>
          <w:rFonts w:hint="eastAsia" w:ascii="楷体_GB2312" w:hAnsi="黑体" w:eastAsia="楷体_GB2312" w:cs="Times New Roman"/>
          <w:spacing w:val="-3"/>
          <w:sz w:val="32"/>
          <w:szCs w:val="32"/>
        </w:rPr>
        <w:t>（二）普通光伏电站情况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1.接网消纳落实情况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说明本次申报项目是否均在消纳能力范围内并逐一出具了支持性文件，分别列出本地消纳、外送消纳的装机容量。</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说明本次申报项目接入送出工程是否均已明确由电网企业投资建设并可与项目申报的预计投产时间衔接一致。如存在经投资企业与电网企业协商一致、由光伏投资企业按电网建设统一标准投资建设送出工程的，还需单独列出该类项目装机容量和约定的回购期限。</w:t>
      </w:r>
    </w:p>
    <w:p>
      <w:pPr>
        <w:adjustRightInd w:val="0"/>
        <w:snapToGrid w:val="0"/>
        <w:spacing w:line="588" w:lineRule="exact"/>
        <w:ind w:firstLine="628" w:firstLineChars="200"/>
        <w:outlineLvl w:val="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2.土地（场地）落实情况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说明本次申报项目是否均属于国家允许建设光伏项目的场地、不占用基本农田且不涉及生态红线等限制开发的区域，说明场地使用费用的范围。</w:t>
      </w:r>
    </w:p>
    <w:p>
      <w:pPr>
        <w:adjustRightInd w:val="0"/>
        <w:snapToGrid w:val="0"/>
        <w:spacing w:line="588" w:lineRule="exact"/>
        <w:ind w:firstLine="628" w:firstLineChars="200"/>
        <w:outlineLvl w:val="0"/>
        <w:rPr>
          <w:rFonts w:ascii="楷体_GB2312" w:hAnsi="黑体" w:eastAsia="楷体_GB2312" w:cs="Times New Roman"/>
          <w:spacing w:val="-3"/>
          <w:sz w:val="32"/>
          <w:szCs w:val="32"/>
        </w:rPr>
      </w:pPr>
      <w:r>
        <w:rPr>
          <w:rFonts w:hint="eastAsia" w:ascii="楷体_GB2312" w:hAnsi="黑体" w:eastAsia="楷体_GB2312" w:cs="Times New Roman"/>
          <w:spacing w:val="-3"/>
          <w:sz w:val="32"/>
          <w:szCs w:val="32"/>
        </w:rPr>
        <w:t>（三）工商业分布式光伏项目情况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1.接网消纳落实情况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说明本次申报项目是否均在消纳能力范围内；说明本次申报项目消纳区域（或就近利用范围/电压等级范围）。如存在由地市或省级电网企业针对多个分布式项目统一出具支持性文件的，还需说明新增分布式项目装机总量及附表2中各项目是否均已纳入该支持性文件。</w:t>
      </w:r>
    </w:p>
    <w:p>
      <w:pPr>
        <w:adjustRightInd w:val="0"/>
        <w:snapToGrid w:val="0"/>
        <w:spacing w:line="588" w:lineRule="exact"/>
        <w:ind w:firstLine="628" w:firstLineChars="200"/>
        <w:outlineLvl w:val="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2.土地（场地）落实情况</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说明本次申报项目场地是否均属于国家允许建设光伏项目的场地，并说明场地使用费用的范围。其中如有地面建设的，说明是否均不占用基本农田且不涉及生态红线等限制开发的区域；如有依托建筑物建设的，说明是否已落实场地使用权。</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各类项目均须按附表填写每个项目的接网消纳、土地（场地）落实情况，并提供支持性文件。其中工商业分布式光伏项目可仅提供所在地市或省份的电网企业针对多个分布式项目（或新增分布式项目装机总量）统一出具的接网消纳文件。</w:t>
      </w:r>
    </w:p>
    <w:p>
      <w:pPr>
        <w:adjustRightInd w:val="0"/>
        <w:snapToGrid w:val="0"/>
        <w:spacing w:line="588" w:lineRule="exact"/>
        <w:ind w:firstLine="628" w:firstLineChars="200"/>
        <w:outlineLvl w:val="0"/>
        <w:rPr>
          <w:rFonts w:ascii="黑体" w:hAnsi="黑体" w:eastAsia="黑体" w:cs="Times New Roman"/>
          <w:spacing w:val="-3"/>
          <w:sz w:val="32"/>
          <w:szCs w:val="32"/>
        </w:rPr>
      </w:pPr>
      <w:r>
        <w:rPr>
          <w:rFonts w:hint="eastAsia" w:ascii="黑体" w:hAnsi="黑体" w:eastAsia="黑体" w:cs="Times New Roman"/>
          <w:spacing w:val="-3"/>
          <w:sz w:val="32"/>
          <w:szCs w:val="32"/>
        </w:rPr>
        <w:t>四、主要支持性文件</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（一）本省（区、市）电力消纳市场及接入系统研究报告。省级电网公司提供全省新增光伏消纳能力分析评价意见。</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（二）地方政府支撑性文件。包括土地类型及成本、消纳保障及措施、综合服务保障体系落实情况及配套支持政策。</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（三）省级电网（地方电网）公司承诺文件。包括对全省申报项目和各申报项目消纳市场及接入系统方案的论证材料，以及接入系统建设承诺、消纳保障承诺等。</w:t>
      </w:r>
    </w:p>
    <w:p>
      <w:pPr>
        <w:adjustRightInd w:val="0"/>
        <w:snapToGrid w:val="0"/>
        <w:spacing w:line="588" w:lineRule="exact"/>
        <w:ind w:firstLine="628" w:firstLineChars="200"/>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以上文件为申报必须提供的材料，纸质版和电子版随文报送。其中工商业分布式光伏项目的接网消纳支持文件不用每个项目单独出具。</w:t>
      </w:r>
    </w:p>
    <w:p>
      <w:pPr>
        <w:pStyle w:val="11"/>
        <w:spacing w:line="588" w:lineRule="exact"/>
        <w:ind w:firstLine="628"/>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各</w:t>
      </w:r>
      <w:r>
        <w:rPr>
          <w:rFonts w:ascii="Times New Roman" w:hAnsi="Times New Roman" w:eastAsia="仿宋_GB2312" w:cs="Times New Roman"/>
          <w:spacing w:val="-3"/>
          <w:sz w:val="32"/>
          <w:szCs w:val="32"/>
        </w:rPr>
        <w:t>省</w:t>
      </w:r>
      <w:r>
        <w:rPr>
          <w:rFonts w:hint="eastAsia" w:ascii="Times New Roman" w:hAnsi="Times New Roman" w:eastAsia="仿宋_GB2312" w:cs="Times New Roman"/>
          <w:spacing w:val="-3"/>
          <w:sz w:val="32"/>
          <w:szCs w:val="32"/>
        </w:rPr>
        <w:t>（区、市）能源主管部门应组织项目业主通过国家能源局官方网站（网址：</w:t>
      </w:r>
      <w:r>
        <w:rPr>
          <w:rFonts w:ascii="Times New Roman" w:hAnsi="Times New Roman" w:eastAsia="仿宋_GB2312" w:cs="Times New Roman"/>
          <w:spacing w:val="-3"/>
          <w:sz w:val="32"/>
          <w:szCs w:val="32"/>
        </w:rPr>
        <w:t>http://www.nea.gov.cn</w:t>
      </w:r>
      <w:r>
        <w:rPr>
          <w:rFonts w:hint="eastAsia" w:ascii="Times New Roman" w:hAnsi="Times New Roman" w:eastAsia="仿宋_GB2312" w:cs="Times New Roman"/>
          <w:spacing w:val="-3"/>
          <w:sz w:val="32"/>
          <w:szCs w:val="32"/>
        </w:rPr>
        <w:t>），登录国家可再生能源发电项目信息管理系统填报附表2相关信息，并上传所取得的各项支持性文件。</w:t>
      </w:r>
    </w:p>
    <w:p>
      <w:pPr>
        <w:pStyle w:val="11"/>
        <w:spacing w:line="588" w:lineRule="exact"/>
        <w:ind w:firstLine="628"/>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上传信息开放时间为2</w:t>
      </w:r>
      <w:r>
        <w:rPr>
          <w:rFonts w:ascii="Times New Roman" w:hAnsi="Times New Roman" w:eastAsia="仿宋_GB2312" w:cs="Times New Roman"/>
          <w:spacing w:val="-3"/>
          <w:sz w:val="32"/>
          <w:szCs w:val="32"/>
        </w:rPr>
        <w:t>019年</w:t>
      </w:r>
      <w:r>
        <w:rPr>
          <w:rFonts w:hint="eastAsia" w:ascii="Times New Roman" w:hAnsi="Times New Roman" w:eastAsia="仿宋_GB2312" w:cs="Times New Roman"/>
          <w:spacing w:val="-3"/>
          <w:sz w:val="32"/>
          <w:szCs w:val="32"/>
        </w:rPr>
        <w:t>X月X日至X日，其中上传“补贴竞价申报上网电价”一项的时间为2</w:t>
      </w:r>
      <w:r>
        <w:rPr>
          <w:rFonts w:ascii="Times New Roman" w:hAnsi="Times New Roman" w:eastAsia="仿宋_GB2312" w:cs="Times New Roman"/>
          <w:spacing w:val="-3"/>
          <w:sz w:val="32"/>
          <w:szCs w:val="32"/>
        </w:rPr>
        <w:t>019年</w:t>
      </w:r>
      <w:r>
        <w:rPr>
          <w:rFonts w:hint="eastAsia" w:ascii="Times New Roman" w:hAnsi="Times New Roman" w:eastAsia="仿宋_GB2312" w:cs="Times New Roman"/>
          <w:spacing w:val="-3"/>
          <w:sz w:val="32"/>
          <w:szCs w:val="32"/>
        </w:rPr>
        <w:t>X月X日9</w:t>
      </w:r>
      <w:r>
        <w:rPr>
          <w:rFonts w:ascii="Times New Roman" w:hAnsi="Times New Roman" w:eastAsia="仿宋_GB2312" w:cs="Times New Roman"/>
          <w:spacing w:val="-3"/>
          <w:sz w:val="32"/>
          <w:szCs w:val="32"/>
        </w:rPr>
        <w:t>:</w:t>
      </w:r>
      <w:r>
        <w:rPr>
          <w:rFonts w:hint="eastAsia" w:ascii="Times New Roman" w:hAnsi="Times New Roman" w:eastAsia="仿宋_GB2312" w:cs="Times New Roman"/>
          <w:spacing w:val="-3"/>
          <w:sz w:val="32"/>
          <w:szCs w:val="32"/>
        </w:rPr>
        <w:t>0</w:t>
      </w:r>
      <w:r>
        <w:rPr>
          <w:rFonts w:ascii="Times New Roman" w:hAnsi="Times New Roman" w:eastAsia="仿宋_GB2312" w:cs="Times New Roman"/>
          <w:spacing w:val="-3"/>
          <w:sz w:val="32"/>
          <w:szCs w:val="32"/>
        </w:rPr>
        <w:t>0</w:t>
      </w:r>
      <w:r>
        <w:rPr>
          <w:rFonts w:hint="eastAsia" w:ascii="Times New Roman" w:hAnsi="Times New Roman" w:eastAsia="仿宋_GB2312" w:cs="Times New Roman"/>
          <w:spacing w:val="-3"/>
          <w:sz w:val="32"/>
          <w:szCs w:val="32"/>
        </w:rPr>
        <w:t>-12:0</w:t>
      </w:r>
      <w:r>
        <w:rPr>
          <w:rFonts w:ascii="Times New Roman" w:hAnsi="Times New Roman" w:eastAsia="仿宋_GB2312" w:cs="Times New Roman"/>
          <w:spacing w:val="-3"/>
          <w:sz w:val="32"/>
          <w:szCs w:val="32"/>
        </w:rPr>
        <w:t>0</w:t>
      </w:r>
      <w:r>
        <w:rPr>
          <w:rFonts w:hint="eastAsia" w:ascii="Times New Roman" w:hAnsi="Times New Roman" w:eastAsia="仿宋_GB2312" w:cs="Times New Roman"/>
          <w:spacing w:val="-3"/>
          <w:sz w:val="32"/>
          <w:szCs w:val="32"/>
        </w:rPr>
        <w:t>，</w:t>
      </w:r>
      <w:r>
        <w:rPr>
          <w:rFonts w:ascii="Times New Roman" w:hAnsi="Times New Roman" w:eastAsia="仿宋_GB2312" w:cs="Times New Roman"/>
          <w:spacing w:val="-3"/>
          <w:sz w:val="32"/>
          <w:szCs w:val="32"/>
        </w:rPr>
        <w:t>且自该日</w:t>
      </w:r>
      <w:r>
        <w:rPr>
          <w:rFonts w:hint="eastAsia" w:ascii="Times New Roman" w:hAnsi="Times New Roman" w:eastAsia="仿宋_GB2312" w:cs="Times New Roman"/>
          <w:spacing w:val="-3"/>
          <w:sz w:val="32"/>
          <w:szCs w:val="32"/>
        </w:rPr>
        <w:t>12:0</w:t>
      </w:r>
      <w:r>
        <w:rPr>
          <w:rFonts w:ascii="Times New Roman" w:hAnsi="Times New Roman" w:eastAsia="仿宋_GB2312" w:cs="Times New Roman"/>
          <w:spacing w:val="-3"/>
          <w:sz w:val="32"/>
          <w:szCs w:val="32"/>
        </w:rPr>
        <w:t>0起</w:t>
      </w:r>
      <w:r>
        <w:rPr>
          <w:rFonts w:hint="eastAsia" w:ascii="Times New Roman" w:hAnsi="Times New Roman" w:eastAsia="仿宋_GB2312" w:cs="Times New Roman"/>
          <w:spacing w:val="-3"/>
          <w:sz w:val="32"/>
          <w:szCs w:val="32"/>
        </w:rPr>
        <w:t>，“项目名称”“项目类型”“项目地点”“项目容量”“项目业主”、“补贴竞价申报上网电价”信息不可再次上传更改。</w:t>
      </w:r>
    </w:p>
    <w:p>
      <w:pPr>
        <w:pStyle w:val="11"/>
        <w:spacing w:line="588" w:lineRule="exact"/>
        <w:ind w:firstLine="628"/>
        <w:rPr>
          <w:rFonts w:ascii="Times New Roman" w:hAnsi="Times New Roman" w:eastAsia="仿宋_GB2312" w:cs="Times New Roman"/>
          <w:spacing w:val="-3"/>
          <w:sz w:val="32"/>
          <w:szCs w:val="32"/>
        </w:rPr>
      </w:pPr>
    </w:p>
    <w:p>
      <w:pPr>
        <w:pStyle w:val="11"/>
        <w:spacing w:line="588" w:lineRule="exact"/>
        <w:ind w:left="1840" w:leftChars="299" w:hanging="1212" w:hangingChars="386"/>
        <w:rPr>
          <w:rFonts w:ascii="Times New Roman" w:hAnsi="Times New Roman" w:eastAsia="仿宋_GB2312" w:cs="Times New Roman"/>
          <w:spacing w:val="-3"/>
          <w:sz w:val="32"/>
          <w:szCs w:val="32"/>
        </w:rPr>
      </w:pPr>
      <w:r>
        <w:rPr>
          <w:rFonts w:hint="eastAsia" w:ascii="Times New Roman" w:hAnsi="Times New Roman" w:eastAsia="仿宋_GB2312" w:cs="Times New Roman"/>
          <w:spacing w:val="-3"/>
          <w:sz w:val="32"/>
          <w:szCs w:val="32"/>
        </w:rPr>
        <w:t>附表：1.××</w:t>
      </w:r>
      <w:r>
        <w:rPr>
          <w:rFonts w:ascii="Times New Roman" w:hAnsi="Times New Roman" w:eastAsia="仿宋_GB2312" w:cs="Times New Roman"/>
          <w:spacing w:val="-3"/>
          <w:sz w:val="32"/>
          <w:szCs w:val="32"/>
        </w:rPr>
        <w:t>省（区、市）光伏发电</w:t>
      </w:r>
      <w:r>
        <w:rPr>
          <w:rFonts w:hint="eastAsia" w:ascii="Times New Roman" w:hAnsi="Times New Roman" w:eastAsia="仿宋_GB2312" w:cs="Times New Roman"/>
          <w:spacing w:val="-3"/>
          <w:sz w:val="32"/>
          <w:szCs w:val="32"/>
        </w:rPr>
        <w:t>国家补贴竞价</w:t>
      </w:r>
      <w:r>
        <w:rPr>
          <w:rFonts w:ascii="Times New Roman" w:hAnsi="Times New Roman" w:eastAsia="仿宋_GB2312" w:cs="Times New Roman"/>
          <w:spacing w:val="-3"/>
          <w:sz w:val="32"/>
          <w:szCs w:val="32"/>
        </w:rPr>
        <w:t>项目申报汇总表</w:t>
      </w:r>
    </w:p>
    <w:p>
      <w:pPr>
        <w:pStyle w:val="11"/>
        <w:spacing w:line="588" w:lineRule="exact"/>
        <w:ind w:left="1839" w:leftChars="747" w:hanging="270" w:hangingChars="86"/>
        <w:rPr>
          <w:rFonts w:ascii="Times New Roman" w:hAnsi="Times New Roman" w:eastAsia="仿宋_GB2312" w:cs="Times New Roman"/>
          <w:spacing w:val="-3"/>
          <w:sz w:val="32"/>
          <w:szCs w:val="32"/>
        </w:rPr>
      </w:pPr>
      <w:r>
        <w:rPr>
          <w:rFonts w:ascii="Times New Roman" w:hAnsi="Times New Roman" w:eastAsia="仿宋_GB2312" w:cs="Times New Roman"/>
          <w:spacing w:val="-3"/>
          <w:sz w:val="32"/>
          <w:szCs w:val="32"/>
        </w:rPr>
        <w:t>2</w:t>
      </w:r>
      <w:r>
        <w:rPr>
          <w:rFonts w:hint="eastAsia" w:ascii="Times New Roman" w:hAnsi="Times New Roman" w:eastAsia="仿宋_GB2312" w:cs="Times New Roman"/>
          <w:spacing w:val="-3"/>
          <w:sz w:val="32"/>
          <w:szCs w:val="32"/>
        </w:rPr>
        <w:t>.××</w:t>
      </w:r>
      <w:r>
        <w:rPr>
          <w:rFonts w:ascii="Times New Roman" w:hAnsi="Times New Roman" w:eastAsia="仿宋_GB2312" w:cs="Times New Roman"/>
          <w:spacing w:val="-3"/>
          <w:sz w:val="32"/>
          <w:szCs w:val="32"/>
        </w:rPr>
        <w:t>省（区、市）光伏发电</w:t>
      </w:r>
      <w:r>
        <w:rPr>
          <w:rFonts w:hint="eastAsia" w:ascii="Times New Roman" w:hAnsi="Times New Roman" w:eastAsia="仿宋_GB2312" w:cs="Times New Roman"/>
          <w:spacing w:val="-3"/>
          <w:sz w:val="32"/>
          <w:szCs w:val="32"/>
        </w:rPr>
        <w:t>国家补贴竞价</w:t>
      </w:r>
      <w:r>
        <w:rPr>
          <w:rFonts w:ascii="Times New Roman" w:hAnsi="Times New Roman" w:eastAsia="仿宋_GB2312" w:cs="Times New Roman"/>
          <w:spacing w:val="-3"/>
          <w:sz w:val="32"/>
          <w:szCs w:val="32"/>
        </w:rPr>
        <w:t>项目申报表</w:t>
      </w:r>
    </w:p>
    <w:p>
      <w:pPr>
        <w:ind w:left="1840" w:hanging="1840" w:hangingChars="575"/>
        <w:jc w:val="right"/>
        <w:rPr>
          <w:rFonts w:ascii="仿宋_GB2312" w:hAnsi="Times New Roman" w:eastAsia="仿宋_GB2312" w:cs="Times New Roman"/>
          <w:sz w:val="32"/>
          <w:szCs w:val="32"/>
        </w:rPr>
        <w:sectPr>
          <w:footerReference r:id="rId4" w:type="default"/>
          <w:pgSz w:w="11906" w:h="16838"/>
          <w:pgMar w:top="1985" w:right="1616" w:bottom="1814" w:left="1616" w:header="851" w:footer="1474" w:gutter="0"/>
          <w:cols w:space="720" w:num="1"/>
          <w:docGrid w:type="lines" w:linePitch="312" w:charSpace="0"/>
        </w:sectPr>
      </w:pPr>
    </w:p>
    <w:p>
      <w:pPr>
        <w:spacing w:beforeLines="50" w:line="360" w:lineRule="auto"/>
        <w:jc w:val="left"/>
        <w:rPr>
          <w:rFonts w:ascii="仿宋_GB2312" w:hAnsi="仿宋" w:eastAsia="仿宋_GB2312"/>
          <w:sz w:val="32"/>
          <w:szCs w:val="32"/>
        </w:rPr>
      </w:pPr>
      <w:r>
        <w:rPr>
          <w:rFonts w:hint="eastAsia" w:ascii="仿宋_GB2312" w:hAnsi="仿宋" w:eastAsia="仿宋_GB2312"/>
          <w:sz w:val="32"/>
          <w:szCs w:val="32"/>
        </w:rPr>
        <w:t>附表1</w:t>
      </w:r>
    </w:p>
    <w:p>
      <w:pPr>
        <w:spacing w:beforeLines="50" w:afterLines="50" w:line="360" w:lineRule="auto"/>
        <w:jc w:val="center"/>
        <w:outlineLvl w:val="0"/>
        <w:rPr>
          <w:rFonts w:ascii="华文中宋" w:hAnsi="华文中宋" w:eastAsia="华文中宋"/>
          <w:sz w:val="32"/>
          <w:szCs w:val="32"/>
        </w:rPr>
      </w:pPr>
      <w:r>
        <w:rPr>
          <w:rFonts w:hint="eastAsia" w:ascii="华文中宋" w:hAnsi="华文中宋" w:eastAsia="华文中宋"/>
          <w:sz w:val="32"/>
          <w:szCs w:val="32"/>
        </w:rPr>
        <w:t>××省（区、市）光伏发电国家补贴竞价项目申报汇总表</w:t>
      </w:r>
    </w:p>
    <w:tbl>
      <w:tblPr>
        <w:tblW w:w="13596" w:type="dxa"/>
        <w:jc w:val="center"/>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11"/>
        <w:gridCol w:w="2094"/>
        <w:gridCol w:w="1275"/>
        <w:gridCol w:w="1457"/>
        <w:gridCol w:w="1640"/>
        <w:gridCol w:w="1890"/>
        <w:gridCol w:w="1017"/>
        <w:gridCol w:w="1090"/>
        <w:gridCol w:w="1275"/>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8" w:hRule="atLeast"/>
          <w:jc w:val="center"/>
        </w:trPr>
        <w:tc>
          <w:tcPr>
            <w:tcW w:w="811" w:type="dxa"/>
            <w:vMerge w:val="restart"/>
            <w:vAlign w:val="center"/>
          </w:tcPr>
          <w:p>
            <w:pPr>
              <w:jc w:val="center"/>
              <w:rPr>
                <w:rFonts w:ascii="宋体" w:hAnsi="宋体" w:eastAsia="宋体"/>
                <w:sz w:val="18"/>
                <w:szCs w:val="18"/>
              </w:rPr>
            </w:pPr>
            <w:r>
              <w:rPr>
                <w:rFonts w:ascii="宋体" w:hAnsi="宋体" w:eastAsia="宋体"/>
                <w:sz w:val="18"/>
                <w:szCs w:val="18"/>
              </w:rPr>
              <w:t>序号</w:t>
            </w:r>
          </w:p>
        </w:tc>
        <w:tc>
          <w:tcPr>
            <w:tcW w:w="2094" w:type="dxa"/>
            <w:vMerge w:val="restart"/>
            <w:vAlign w:val="center"/>
          </w:tcPr>
          <w:p>
            <w:pPr>
              <w:jc w:val="center"/>
              <w:rPr>
                <w:rFonts w:ascii="宋体" w:hAnsi="宋体" w:eastAsia="宋体"/>
                <w:sz w:val="18"/>
                <w:szCs w:val="18"/>
              </w:rPr>
            </w:pPr>
            <w:r>
              <w:rPr>
                <w:rFonts w:ascii="宋体" w:hAnsi="宋体" w:eastAsia="宋体"/>
                <w:sz w:val="18"/>
                <w:szCs w:val="18"/>
              </w:rPr>
              <w:t>项目类型</w:t>
            </w:r>
          </w:p>
        </w:tc>
        <w:tc>
          <w:tcPr>
            <w:tcW w:w="1275" w:type="dxa"/>
            <w:vMerge w:val="restart"/>
            <w:vAlign w:val="center"/>
          </w:tcPr>
          <w:p>
            <w:pPr>
              <w:jc w:val="center"/>
              <w:rPr>
                <w:rFonts w:ascii="宋体" w:hAnsi="宋体" w:eastAsia="宋体"/>
                <w:sz w:val="18"/>
                <w:szCs w:val="18"/>
              </w:rPr>
            </w:pPr>
            <w:r>
              <w:rPr>
                <w:rFonts w:hint="eastAsia" w:ascii="宋体" w:hAnsi="宋体" w:eastAsia="宋体"/>
                <w:sz w:val="18"/>
                <w:szCs w:val="18"/>
              </w:rPr>
              <w:t>项目数量</w:t>
            </w:r>
          </w:p>
          <w:p>
            <w:pPr>
              <w:jc w:val="center"/>
              <w:rPr>
                <w:rFonts w:ascii="宋体" w:hAnsi="宋体" w:eastAsia="宋体"/>
                <w:sz w:val="18"/>
                <w:szCs w:val="18"/>
              </w:rPr>
            </w:pPr>
            <w:r>
              <w:rPr>
                <w:rFonts w:hint="eastAsia" w:ascii="宋体" w:hAnsi="宋体" w:eastAsia="宋体"/>
                <w:sz w:val="18"/>
                <w:szCs w:val="18"/>
              </w:rPr>
              <w:t>（个）</w:t>
            </w:r>
          </w:p>
        </w:tc>
        <w:tc>
          <w:tcPr>
            <w:tcW w:w="1457" w:type="dxa"/>
            <w:vMerge w:val="restart"/>
            <w:vAlign w:val="center"/>
          </w:tcPr>
          <w:p>
            <w:pPr>
              <w:jc w:val="center"/>
              <w:rPr>
                <w:rFonts w:ascii="宋体" w:hAnsi="宋体" w:eastAsia="宋体"/>
                <w:sz w:val="18"/>
                <w:szCs w:val="18"/>
              </w:rPr>
            </w:pPr>
            <w:r>
              <w:rPr>
                <w:rFonts w:hint="eastAsia" w:ascii="宋体" w:hAnsi="宋体" w:eastAsia="宋体"/>
                <w:sz w:val="18"/>
                <w:szCs w:val="18"/>
              </w:rPr>
              <w:t>总</w:t>
            </w:r>
            <w:r>
              <w:rPr>
                <w:rFonts w:ascii="宋体" w:hAnsi="宋体" w:eastAsia="宋体"/>
                <w:sz w:val="18"/>
                <w:szCs w:val="18"/>
              </w:rPr>
              <w:t>装机容量</w:t>
            </w:r>
          </w:p>
          <w:p>
            <w:pPr>
              <w:jc w:val="center"/>
              <w:rPr>
                <w:rFonts w:ascii="宋体" w:hAnsi="宋体" w:eastAsia="宋体"/>
                <w:sz w:val="18"/>
                <w:szCs w:val="18"/>
              </w:rPr>
            </w:pPr>
            <w:r>
              <w:rPr>
                <w:rFonts w:hint="eastAsia" w:ascii="宋体" w:hAnsi="宋体" w:eastAsia="宋体"/>
                <w:sz w:val="18"/>
                <w:szCs w:val="18"/>
              </w:rPr>
              <w:t>（万千瓦）</w:t>
            </w:r>
          </w:p>
        </w:tc>
        <w:tc>
          <w:tcPr>
            <w:tcW w:w="1640" w:type="dxa"/>
            <w:vMerge w:val="restart"/>
            <w:vAlign w:val="center"/>
          </w:tcPr>
          <w:p>
            <w:pPr>
              <w:jc w:val="center"/>
              <w:rPr>
                <w:rFonts w:ascii="宋体" w:hAnsi="宋体" w:eastAsia="宋体"/>
                <w:sz w:val="18"/>
                <w:szCs w:val="18"/>
              </w:rPr>
            </w:pPr>
            <w:r>
              <w:rPr>
                <w:rFonts w:hint="eastAsia" w:ascii="宋体" w:hAnsi="宋体" w:eastAsia="宋体"/>
                <w:sz w:val="18"/>
                <w:szCs w:val="18"/>
              </w:rPr>
              <w:t>预期总年</w:t>
            </w:r>
          </w:p>
          <w:p>
            <w:pPr>
              <w:jc w:val="center"/>
              <w:rPr>
                <w:rFonts w:ascii="宋体" w:hAnsi="宋体" w:eastAsia="宋体"/>
                <w:sz w:val="18"/>
                <w:szCs w:val="18"/>
              </w:rPr>
            </w:pPr>
            <w:r>
              <w:rPr>
                <w:rFonts w:hint="eastAsia" w:ascii="宋体" w:hAnsi="宋体" w:eastAsia="宋体"/>
                <w:sz w:val="18"/>
                <w:szCs w:val="18"/>
              </w:rPr>
              <w:t>发电量</w:t>
            </w:r>
          </w:p>
          <w:p>
            <w:pPr>
              <w:jc w:val="center"/>
              <w:rPr>
                <w:rFonts w:ascii="宋体" w:hAnsi="宋体" w:eastAsia="宋体"/>
                <w:sz w:val="18"/>
                <w:szCs w:val="18"/>
              </w:rPr>
            </w:pPr>
            <w:bookmarkStart w:id="0" w:name="_GoBack"/>
            <w:bookmarkEnd w:id="0"/>
            <w:r>
              <w:rPr>
                <w:rFonts w:hint="eastAsia" w:ascii="宋体" w:hAnsi="宋体" w:eastAsia="宋体"/>
                <w:sz w:val="18"/>
                <w:szCs w:val="18"/>
              </w:rPr>
              <w:t>（亿千瓦时）</w:t>
            </w:r>
          </w:p>
        </w:tc>
        <w:tc>
          <w:tcPr>
            <w:tcW w:w="1890" w:type="dxa"/>
            <w:vMerge w:val="restart"/>
            <w:vAlign w:val="center"/>
          </w:tcPr>
          <w:p>
            <w:pPr>
              <w:jc w:val="center"/>
              <w:rPr>
                <w:rFonts w:ascii="宋体" w:hAnsi="宋体" w:eastAsia="宋体"/>
                <w:sz w:val="18"/>
                <w:szCs w:val="18"/>
              </w:rPr>
            </w:pPr>
            <w:r>
              <w:rPr>
                <w:rFonts w:hint="eastAsia" w:ascii="宋体" w:hAnsi="宋体" w:eastAsia="宋体"/>
                <w:sz w:val="18"/>
                <w:szCs w:val="18"/>
              </w:rPr>
              <w:t>按装机加权平均上网电价</w:t>
            </w:r>
          </w:p>
          <w:p>
            <w:pPr>
              <w:jc w:val="center"/>
              <w:rPr>
                <w:rFonts w:ascii="宋体" w:hAnsi="宋体" w:eastAsia="宋体"/>
                <w:sz w:val="18"/>
                <w:szCs w:val="18"/>
              </w:rPr>
            </w:pPr>
            <w:r>
              <w:rPr>
                <w:rFonts w:hint="eastAsia" w:ascii="宋体" w:hAnsi="宋体" w:eastAsia="宋体"/>
                <w:sz w:val="18"/>
                <w:szCs w:val="18"/>
              </w:rPr>
              <w:t>（元/千瓦时）</w:t>
            </w:r>
          </w:p>
        </w:tc>
        <w:tc>
          <w:tcPr>
            <w:tcW w:w="4429" w:type="dxa"/>
            <w:gridSpan w:val="4"/>
            <w:vAlign w:val="center"/>
          </w:tcPr>
          <w:p>
            <w:pPr>
              <w:jc w:val="center"/>
              <w:rPr>
                <w:rFonts w:ascii="宋体" w:hAnsi="宋体" w:eastAsia="宋体"/>
                <w:sz w:val="18"/>
                <w:szCs w:val="18"/>
              </w:rPr>
            </w:pPr>
            <w:r>
              <w:rPr>
                <w:rFonts w:hint="eastAsia" w:ascii="宋体" w:hAnsi="宋体" w:eastAsia="宋体"/>
                <w:sz w:val="18"/>
                <w:szCs w:val="18"/>
              </w:rPr>
              <w:t>申报2019年投产时间装机容量</w:t>
            </w:r>
          </w:p>
          <w:p>
            <w:pPr>
              <w:jc w:val="center"/>
              <w:rPr>
                <w:rFonts w:ascii="宋体" w:hAnsi="宋体" w:eastAsia="宋体"/>
                <w:sz w:val="18"/>
                <w:szCs w:val="18"/>
              </w:rPr>
            </w:pPr>
            <w:r>
              <w:rPr>
                <w:rFonts w:hint="eastAsia" w:ascii="宋体" w:hAnsi="宋体" w:eastAsia="宋体"/>
                <w:sz w:val="18"/>
                <w:szCs w:val="18"/>
              </w:rPr>
              <w:t>（万千瓦）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811" w:type="dxa"/>
            <w:vMerge w:val="continue"/>
            <w:vAlign w:val="center"/>
          </w:tcPr>
          <w:p>
            <w:pPr>
              <w:jc w:val="center"/>
              <w:rPr>
                <w:rFonts w:ascii="宋体" w:hAnsi="宋体" w:eastAsia="宋体"/>
                <w:sz w:val="18"/>
                <w:szCs w:val="18"/>
              </w:rPr>
            </w:pPr>
          </w:p>
        </w:tc>
        <w:tc>
          <w:tcPr>
            <w:tcW w:w="2094" w:type="dxa"/>
            <w:vMerge w:val="continue"/>
            <w:vAlign w:val="center"/>
          </w:tcPr>
          <w:p>
            <w:pPr>
              <w:jc w:val="center"/>
              <w:rPr>
                <w:rFonts w:ascii="宋体" w:hAnsi="宋体" w:eastAsia="宋体"/>
                <w:sz w:val="18"/>
                <w:szCs w:val="18"/>
              </w:rPr>
            </w:pPr>
          </w:p>
        </w:tc>
        <w:tc>
          <w:tcPr>
            <w:tcW w:w="1275" w:type="dxa"/>
            <w:vMerge w:val="continue"/>
            <w:vAlign w:val="center"/>
          </w:tcPr>
          <w:p>
            <w:pPr>
              <w:jc w:val="center"/>
              <w:rPr>
                <w:rFonts w:ascii="宋体" w:hAnsi="宋体" w:eastAsia="宋体"/>
                <w:sz w:val="18"/>
                <w:szCs w:val="18"/>
              </w:rPr>
            </w:pPr>
          </w:p>
        </w:tc>
        <w:tc>
          <w:tcPr>
            <w:tcW w:w="1457" w:type="dxa"/>
            <w:vMerge w:val="continue"/>
            <w:vAlign w:val="center"/>
          </w:tcPr>
          <w:p>
            <w:pPr>
              <w:jc w:val="center"/>
              <w:rPr>
                <w:rFonts w:ascii="宋体" w:hAnsi="宋体" w:eastAsia="宋体"/>
                <w:sz w:val="18"/>
                <w:szCs w:val="18"/>
              </w:rPr>
            </w:pPr>
          </w:p>
        </w:tc>
        <w:tc>
          <w:tcPr>
            <w:tcW w:w="1640" w:type="dxa"/>
            <w:vMerge w:val="continue"/>
            <w:vAlign w:val="center"/>
          </w:tcPr>
          <w:p>
            <w:pPr>
              <w:jc w:val="center"/>
              <w:rPr>
                <w:rFonts w:ascii="宋体" w:hAnsi="宋体" w:eastAsia="宋体"/>
                <w:sz w:val="18"/>
                <w:szCs w:val="18"/>
              </w:rPr>
            </w:pPr>
          </w:p>
        </w:tc>
        <w:tc>
          <w:tcPr>
            <w:tcW w:w="1890" w:type="dxa"/>
            <w:vMerge w:val="continue"/>
            <w:vAlign w:val="center"/>
          </w:tcPr>
          <w:p>
            <w:pPr>
              <w:jc w:val="center"/>
              <w:rPr>
                <w:rFonts w:ascii="宋体" w:hAnsi="宋体" w:eastAsia="宋体"/>
                <w:sz w:val="18"/>
                <w:szCs w:val="18"/>
              </w:rPr>
            </w:pPr>
          </w:p>
        </w:tc>
        <w:tc>
          <w:tcPr>
            <w:tcW w:w="1017" w:type="dxa"/>
            <w:vAlign w:val="center"/>
          </w:tcPr>
          <w:p>
            <w:pPr>
              <w:jc w:val="center"/>
              <w:rPr>
                <w:rFonts w:ascii="宋体" w:hAnsi="宋体" w:eastAsia="宋体"/>
                <w:sz w:val="18"/>
                <w:szCs w:val="18"/>
              </w:rPr>
            </w:pPr>
            <w:r>
              <w:rPr>
                <w:rFonts w:hint="eastAsia" w:ascii="宋体" w:hAnsi="宋体" w:eastAsia="宋体"/>
                <w:sz w:val="18"/>
                <w:szCs w:val="18"/>
              </w:rPr>
              <w:t>二季度</w:t>
            </w:r>
          </w:p>
        </w:tc>
        <w:tc>
          <w:tcPr>
            <w:tcW w:w="1090" w:type="dxa"/>
            <w:vAlign w:val="center"/>
          </w:tcPr>
          <w:p>
            <w:pPr>
              <w:jc w:val="center"/>
              <w:rPr>
                <w:rFonts w:ascii="宋体" w:hAnsi="宋体" w:eastAsia="宋体"/>
                <w:sz w:val="18"/>
                <w:szCs w:val="18"/>
              </w:rPr>
            </w:pPr>
            <w:r>
              <w:rPr>
                <w:rFonts w:hint="eastAsia" w:ascii="宋体" w:hAnsi="宋体" w:eastAsia="宋体"/>
                <w:sz w:val="18"/>
                <w:szCs w:val="18"/>
              </w:rPr>
              <w:t>三季度</w:t>
            </w:r>
          </w:p>
        </w:tc>
        <w:tc>
          <w:tcPr>
            <w:tcW w:w="1275" w:type="dxa"/>
            <w:vAlign w:val="center"/>
          </w:tcPr>
          <w:p>
            <w:pPr>
              <w:jc w:val="center"/>
              <w:rPr>
                <w:rFonts w:ascii="宋体" w:hAnsi="宋体" w:eastAsia="宋体"/>
                <w:sz w:val="18"/>
                <w:szCs w:val="18"/>
              </w:rPr>
            </w:pPr>
            <w:r>
              <w:rPr>
                <w:rFonts w:hint="eastAsia" w:ascii="宋体" w:hAnsi="宋体" w:eastAsia="宋体"/>
                <w:sz w:val="18"/>
                <w:szCs w:val="18"/>
              </w:rPr>
              <w:t>四季度</w:t>
            </w:r>
          </w:p>
        </w:tc>
        <w:tc>
          <w:tcPr>
            <w:tcW w:w="1047" w:type="dxa"/>
            <w:vAlign w:val="center"/>
          </w:tcPr>
          <w:p>
            <w:pPr>
              <w:jc w:val="center"/>
              <w:rPr>
                <w:rFonts w:ascii="宋体" w:hAnsi="宋体" w:eastAsia="宋体"/>
                <w:sz w:val="18"/>
                <w:szCs w:val="18"/>
              </w:rPr>
            </w:pPr>
            <w:r>
              <w:rPr>
                <w:rFonts w:hint="eastAsia" w:ascii="宋体" w:hAnsi="宋体" w:eastAsia="宋体"/>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1" w:hRule="atLeast"/>
          <w:jc w:val="center"/>
        </w:trPr>
        <w:tc>
          <w:tcPr>
            <w:tcW w:w="811" w:type="dxa"/>
            <w:vAlign w:val="center"/>
          </w:tcPr>
          <w:p>
            <w:pPr>
              <w:jc w:val="center"/>
              <w:rPr>
                <w:rFonts w:ascii="宋体" w:hAnsi="宋体" w:eastAsia="宋体"/>
                <w:sz w:val="18"/>
                <w:szCs w:val="18"/>
              </w:rPr>
            </w:pPr>
            <w:r>
              <w:rPr>
                <w:rFonts w:hint="eastAsia" w:ascii="宋体" w:hAnsi="宋体" w:eastAsia="宋体"/>
                <w:sz w:val="18"/>
                <w:szCs w:val="18"/>
              </w:rPr>
              <w:t>1</w:t>
            </w:r>
          </w:p>
        </w:tc>
        <w:tc>
          <w:tcPr>
            <w:tcW w:w="2094" w:type="dxa"/>
            <w:vAlign w:val="center"/>
          </w:tcPr>
          <w:p>
            <w:pPr>
              <w:jc w:val="center"/>
              <w:rPr>
                <w:rFonts w:ascii="宋体" w:hAnsi="宋体" w:eastAsia="宋体"/>
                <w:sz w:val="18"/>
                <w:szCs w:val="18"/>
              </w:rPr>
            </w:pPr>
            <w:r>
              <w:rPr>
                <w:rFonts w:hint="eastAsia" w:ascii="宋体" w:hAnsi="宋体" w:eastAsia="宋体"/>
                <w:sz w:val="18"/>
                <w:szCs w:val="18"/>
              </w:rPr>
              <w:t>普通光伏电站</w:t>
            </w:r>
          </w:p>
          <w:p>
            <w:pPr>
              <w:jc w:val="center"/>
              <w:rPr>
                <w:rFonts w:ascii="宋体" w:hAnsi="宋体" w:eastAsia="宋体"/>
                <w:sz w:val="18"/>
                <w:szCs w:val="18"/>
              </w:rPr>
            </w:pPr>
            <w:r>
              <w:rPr>
                <w:rFonts w:hint="eastAsia" w:ascii="宋体" w:hAnsi="宋体" w:eastAsia="宋体"/>
                <w:sz w:val="18"/>
                <w:szCs w:val="18"/>
              </w:rPr>
              <w:t>（即集中式光伏）</w:t>
            </w:r>
          </w:p>
        </w:tc>
        <w:tc>
          <w:tcPr>
            <w:tcW w:w="1275" w:type="dxa"/>
            <w:vAlign w:val="center"/>
          </w:tcPr>
          <w:p>
            <w:pPr>
              <w:jc w:val="center"/>
              <w:rPr>
                <w:rFonts w:ascii="宋体" w:hAnsi="宋体" w:eastAsia="宋体"/>
                <w:sz w:val="18"/>
                <w:szCs w:val="18"/>
              </w:rPr>
            </w:pPr>
          </w:p>
        </w:tc>
        <w:tc>
          <w:tcPr>
            <w:tcW w:w="1457" w:type="dxa"/>
            <w:vAlign w:val="center"/>
          </w:tcPr>
          <w:p>
            <w:pPr>
              <w:jc w:val="center"/>
              <w:rPr>
                <w:rFonts w:ascii="宋体" w:hAnsi="宋体" w:eastAsia="宋体"/>
                <w:sz w:val="18"/>
                <w:szCs w:val="18"/>
              </w:rPr>
            </w:pPr>
          </w:p>
        </w:tc>
        <w:tc>
          <w:tcPr>
            <w:tcW w:w="1640" w:type="dxa"/>
            <w:vAlign w:val="center"/>
          </w:tcPr>
          <w:p>
            <w:pPr>
              <w:jc w:val="center"/>
              <w:rPr>
                <w:rFonts w:ascii="宋体" w:hAnsi="宋体" w:eastAsia="宋体"/>
                <w:sz w:val="18"/>
                <w:szCs w:val="18"/>
              </w:rPr>
            </w:pPr>
          </w:p>
        </w:tc>
        <w:tc>
          <w:tcPr>
            <w:tcW w:w="1890" w:type="dxa"/>
            <w:vAlign w:val="center"/>
          </w:tcPr>
          <w:p>
            <w:pPr>
              <w:jc w:val="center"/>
              <w:rPr>
                <w:rFonts w:ascii="宋体" w:hAnsi="宋体" w:eastAsia="宋体"/>
                <w:sz w:val="18"/>
                <w:szCs w:val="18"/>
              </w:rPr>
            </w:pPr>
          </w:p>
        </w:tc>
        <w:tc>
          <w:tcPr>
            <w:tcW w:w="1017" w:type="dxa"/>
            <w:vAlign w:val="center"/>
          </w:tcPr>
          <w:p>
            <w:pPr>
              <w:jc w:val="center"/>
              <w:rPr>
                <w:rFonts w:ascii="宋体" w:hAnsi="宋体" w:eastAsia="宋体"/>
                <w:sz w:val="18"/>
                <w:szCs w:val="18"/>
              </w:rPr>
            </w:pPr>
          </w:p>
        </w:tc>
        <w:tc>
          <w:tcPr>
            <w:tcW w:w="1090" w:type="dxa"/>
            <w:vAlign w:val="center"/>
          </w:tcPr>
          <w:p>
            <w:pPr>
              <w:jc w:val="center"/>
              <w:rPr>
                <w:rFonts w:ascii="宋体" w:hAnsi="宋体" w:eastAsia="宋体"/>
                <w:sz w:val="18"/>
                <w:szCs w:val="18"/>
              </w:rPr>
            </w:pPr>
          </w:p>
        </w:tc>
        <w:tc>
          <w:tcPr>
            <w:tcW w:w="1275" w:type="dxa"/>
            <w:vAlign w:val="center"/>
          </w:tcPr>
          <w:p>
            <w:pPr>
              <w:jc w:val="center"/>
              <w:rPr>
                <w:rFonts w:ascii="宋体" w:hAnsi="宋体" w:eastAsia="宋体"/>
                <w:sz w:val="18"/>
                <w:szCs w:val="18"/>
              </w:rPr>
            </w:pPr>
          </w:p>
        </w:tc>
        <w:tc>
          <w:tcPr>
            <w:tcW w:w="1047" w:type="dxa"/>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jc w:val="center"/>
        </w:trPr>
        <w:tc>
          <w:tcPr>
            <w:tcW w:w="811" w:type="dxa"/>
            <w:vAlign w:val="center"/>
          </w:tcPr>
          <w:p>
            <w:pPr>
              <w:jc w:val="center"/>
              <w:rPr>
                <w:rFonts w:ascii="宋体" w:hAnsi="宋体" w:eastAsia="宋体"/>
                <w:sz w:val="18"/>
                <w:szCs w:val="18"/>
              </w:rPr>
            </w:pPr>
            <w:r>
              <w:rPr>
                <w:rFonts w:hint="eastAsia" w:ascii="宋体" w:hAnsi="宋体" w:eastAsia="宋体"/>
                <w:sz w:val="18"/>
                <w:szCs w:val="18"/>
              </w:rPr>
              <w:t>2</w:t>
            </w:r>
          </w:p>
        </w:tc>
        <w:tc>
          <w:tcPr>
            <w:tcW w:w="2094" w:type="dxa"/>
            <w:vAlign w:val="center"/>
          </w:tcPr>
          <w:p>
            <w:pPr>
              <w:jc w:val="center"/>
              <w:rPr>
                <w:rFonts w:ascii="宋体" w:hAnsi="宋体" w:eastAsia="宋体"/>
                <w:sz w:val="18"/>
                <w:szCs w:val="18"/>
              </w:rPr>
            </w:pPr>
            <w:r>
              <w:rPr>
                <w:rFonts w:hint="eastAsia" w:ascii="宋体" w:hAnsi="宋体" w:eastAsia="宋体"/>
                <w:sz w:val="18"/>
                <w:szCs w:val="18"/>
              </w:rPr>
              <w:t>工商业分布式</w:t>
            </w:r>
          </w:p>
          <w:p>
            <w:pPr>
              <w:jc w:val="center"/>
              <w:rPr>
                <w:rFonts w:ascii="宋体" w:hAnsi="宋体" w:eastAsia="宋体"/>
                <w:sz w:val="18"/>
                <w:szCs w:val="18"/>
              </w:rPr>
            </w:pPr>
            <w:r>
              <w:rPr>
                <w:rFonts w:hint="eastAsia" w:ascii="宋体" w:hAnsi="宋体" w:eastAsia="宋体"/>
                <w:sz w:val="18"/>
                <w:szCs w:val="18"/>
              </w:rPr>
              <w:t>（全额上网模式）</w:t>
            </w:r>
          </w:p>
        </w:tc>
        <w:tc>
          <w:tcPr>
            <w:tcW w:w="1275" w:type="dxa"/>
            <w:vAlign w:val="center"/>
          </w:tcPr>
          <w:p>
            <w:pPr>
              <w:jc w:val="center"/>
              <w:rPr>
                <w:rFonts w:ascii="宋体" w:hAnsi="宋体" w:eastAsia="宋体"/>
                <w:sz w:val="18"/>
                <w:szCs w:val="18"/>
              </w:rPr>
            </w:pPr>
          </w:p>
        </w:tc>
        <w:tc>
          <w:tcPr>
            <w:tcW w:w="1457" w:type="dxa"/>
            <w:vAlign w:val="center"/>
          </w:tcPr>
          <w:p>
            <w:pPr>
              <w:jc w:val="center"/>
              <w:rPr>
                <w:rFonts w:ascii="宋体" w:hAnsi="宋体" w:eastAsia="宋体"/>
                <w:sz w:val="18"/>
                <w:szCs w:val="18"/>
              </w:rPr>
            </w:pPr>
          </w:p>
        </w:tc>
        <w:tc>
          <w:tcPr>
            <w:tcW w:w="1640" w:type="dxa"/>
            <w:vAlign w:val="center"/>
          </w:tcPr>
          <w:p>
            <w:pPr>
              <w:jc w:val="center"/>
              <w:rPr>
                <w:rFonts w:ascii="宋体" w:hAnsi="宋体" w:eastAsia="宋体"/>
                <w:sz w:val="18"/>
                <w:szCs w:val="18"/>
              </w:rPr>
            </w:pPr>
          </w:p>
        </w:tc>
        <w:tc>
          <w:tcPr>
            <w:tcW w:w="1890" w:type="dxa"/>
            <w:vAlign w:val="center"/>
          </w:tcPr>
          <w:p>
            <w:pPr>
              <w:jc w:val="center"/>
              <w:rPr>
                <w:rFonts w:ascii="宋体" w:hAnsi="宋体" w:eastAsia="宋体"/>
                <w:sz w:val="18"/>
                <w:szCs w:val="18"/>
              </w:rPr>
            </w:pPr>
          </w:p>
        </w:tc>
        <w:tc>
          <w:tcPr>
            <w:tcW w:w="1017" w:type="dxa"/>
            <w:vAlign w:val="center"/>
          </w:tcPr>
          <w:p>
            <w:pPr>
              <w:jc w:val="center"/>
              <w:rPr>
                <w:rFonts w:ascii="宋体" w:hAnsi="宋体" w:eastAsia="宋体"/>
                <w:sz w:val="18"/>
                <w:szCs w:val="18"/>
              </w:rPr>
            </w:pPr>
          </w:p>
        </w:tc>
        <w:tc>
          <w:tcPr>
            <w:tcW w:w="1090" w:type="dxa"/>
            <w:vAlign w:val="center"/>
          </w:tcPr>
          <w:p>
            <w:pPr>
              <w:jc w:val="center"/>
              <w:rPr>
                <w:rFonts w:ascii="宋体" w:hAnsi="宋体" w:eastAsia="宋体"/>
                <w:sz w:val="18"/>
                <w:szCs w:val="18"/>
              </w:rPr>
            </w:pPr>
          </w:p>
        </w:tc>
        <w:tc>
          <w:tcPr>
            <w:tcW w:w="1275" w:type="dxa"/>
            <w:vAlign w:val="center"/>
          </w:tcPr>
          <w:p>
            <w:pPr>
              <w:jc w:val="center"/>
              <w:rPr>
                <w:rFonts w:ascii="宋体" w:hAnsi="宋体" w:eastAsia="宋体"/>
                <w:sz w:val="18"/>
                <w:szCs w:val="18"/>
              </w:rPr>
            </w:pPr>
          </w:p>
        </w:tc>
        <w:tc>
          <w:tcPr>
            <w:tcW w:w="1047" w:type="dxa"/>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35" w:hRule="atLeast"/>
          <w:jc w:val="center"/>
        </w:trPr>
        <w:tc>
          <w:tcPr>
            <w:tcW w:w="811" w:type="dxa"/>
            <w:vAlign w:val="center"/>
          </w:tcPr>
          <w:p>
            <w:pPr>
              <w:jc w:val="center"/>
              <w:rPr>
                <w:rFonts w:ascii="宋体" w:hAnsi="宋体" w:eastAsia="宋体"/>
                <w:sz w:val="18"/>
                <w:szCs w:val="18"/>
              </w:rPr>
            </w:pPr>
            <w:r>
              <w:rPr>
                <w:rFonts w:hint="eastAsia" w:ascii="宋体" w:hAnsi="宋体" w:eastAsia="宋体"/>
                <w:sz w:val="18"/>
                <w:szCs w:val="18"/>
              </w:rPr>
              <w:t>3</w:t>
            </w:r>
          </w:p>
        </w:tc>
        <w:tc>
          <w:tcPr>
            <w:tcW w:w="2094" w:type="dxa"/>
            <w:vAlign w:val="center"/>
          </w:tcPr>
          <w:p>
            <w:pPr>
              <w:jc w:val="center"/>
              <w:rPr>
                <w:rFonts w:ascii="宋体" w:hAnsi="宋体" w:eastAsia="宋体"/>
                <w:sz w:val="18"/>
                <w:szCs w:val="18"/>
              </w:rPr>
            </w:pPr>
            <w:r>
              <w:rPr>
                <w:rFonts w:hint="eastAsia" w:ascii="宋体" w:hAnsi="宋体" w:eastAsia="宋体"/>
                <w:sz w:val="18"/>
                <w:szCs w:val="18"/>
              </w:rPr>
              <w:t>工商业分布式</w:t>
            </w:r>
          </w:p>
          <w:p>
            <w:pPr>
              <w:jc w:val="center"/>
              <w:rPr>
                <w:rFonts w:ascii="宋体" w:hAnsi="宋体" w:eastAsia="宋体"/>
                <w:sz w:val="18"/>
                <w:szCs w:val="18"/>
              </w:rPr>
            </w:pPr>
            <w:r>
              <w:rPr>
                <w:rFonts w:hint="eastAsia" w:ascii="宋体" w:hAnsi="宋体" w:eastAsia="宋体"/>
                <w:sz w:val="18"/>
                <w:szCs w:val="18"/>
              </w:rPr>
              <w:t>（自发自用、余电上网模式）</w:t>
            </w:r>
          </w:p>
        </w:tc>
        <w:tc>
          <w:tcPr>
            <w:tcW w:w="1275" w:type="dxa"/>
            <w:vAlign w:val="center"/>
          </w:tcPr>
          <w:p>
            <w:pPr>
              <w:jc w:val="center"/>
              <w:rPr>
                <w:rFonts w:ascii="宋体" w:hAnsi="宋体" w:eastAsia="宋体"/>
                <w:sz w:val="18"/>
                <w:szCs w:val="18"/>
              </w:rPr>
            </w:pPr>
          </w:p>
        </w:tc>
        <w:tc>
          <w:tcPr>
            <w:tcW w:w="1457" w:type="dxa"/>
            <w:vAlign w:val="center"/>
          </w:tcPr>
          <w:p>
            <w:pPr>
              <w:jc w:val="center"/>
              <w:rPr>
                <w:rFonts w:ascii="宋体" w:hAnsi="宋体" w:eastAsia="宋体"/>
                <w:sz w:val="18"/>
                <w:szCs w:val="18"/>
              </w:rPr>
            </w:pPr>
          </w:p>
        </w:tc>
        <w:tc>
          <w:tcPr>
            <w:tcW w:w="1640" w:type="dxa"/>
            <w:vAlign w:val="center"/>
          </w:tcPr>
          <w:p>
            <w:pPr>
              <w:jc w:val="center"/>
              <w:rPr>
                <w:rFonts w:ascii="宋体" w:hAnsi="宋体" w:eastAsia="宋体"/>
                <w:sz w:val="18"/>
                <w:szCs w:val="18"/>
              </w:rPr>
            </w:pPr>
          </w:p>
        </w:tc>
        <w:tc>
          <w:tcPr>
            <w:tcW w:w="1890" w:type="dxa"/>
            <w:vAlign w:val="center"/>
          </w:tcPr>
          <w:p>
            <w:pPr>
              <w:jc w:val="center"/>
              <w:rPr>
                <w:rFonts w:ascii="宋体" w:hAnsi="宋体" w:eastAsia="宋体"/>
                <w:sz w:val="18"/>
                <w:szCs w:val="18"/>
              </w:rPr>
            </w:pPr>
          </w:p>
        </w:tc>
        <w:tc>
          <w:tcPr>
            <w:tcW w:w="1017" w:type="dxa"/>
            <w:vAlign w:val="center"/>
          </w:tcPr>
          <w:p>
            <w:pPr>
              <w:jc w:val="center"/>
              <w:rPr>
                <w:rFonts w:ascii="宋体" w:hAnsi="宋体" w:eastAsia="宋体"/>
                <w:sz w:val="18"/>
                <w:szCs w:val="18"/>
              </w:rPr>
            </w:pPr>
          </w:p>
        </w:tc>
        <w:tc>
          <w:tcPr>
            <w:tcW w:w="1090" w:type="dxa"/>
            <w:vAlign w:val="center"/>
          </w:tcPr>
          <w:p>
            <w:pPr>
              <w:jc w:val="center"/>
              <w:rPr>
                <w:rFonts w:ascii="宋体" w:hAnsi="宋体" w:eastAsia="宋体"/>
                <w:sz w:val="18"/>
                <w:szCs w:val="18"/>
              </w:rPr>
            </w:pPr>
          </w:p>
        </w:tc>
        <w:tc>
          <w:tcPr>
            <w:tcW w:w="1275" w:type="dxa"/>
            <w:vAlign w:val="center"/>
          </w:tcPr>
          <w:p>
            <w:pPr>
              <w:jc w:val="center"/>
              <w:rPr>
                <w:rFonts w:ascii="宋体" w:hAnsi="宋体" w:eastAsia="宋体"/>
                <w:sz w:val="18"/>
                <w:szCs w:val="18"/>
              </w:rPr>
            </w:pPr>
          </w:p>
        </w:tc>
        <w:tc>
          <w:tcPr>
            <w:tcW w:w="1047" w:type="dxa"/>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3" w:hRule="atLeast"/>
          <w:jc w:val="center"/>
        </w:trPr>
        <w:tc>
          <w:tcPr>
            <w:tcW w:w="2905" w:type="dxa"/>
            <w:gridSpan w:val="2"/>
            <w:vAlign w:val="center"/>
          </w:tcPr>
          <w:p>
            <w:pPr>
              <w:snapToGrid w:val="0"/>
              <w:jc w:val="center"/>
              <w:rPr>
                <w:rFonts w:ascii="宋体" w:hAnsi="宋体" w:eastAsia="宋体"/>
                <w:sz w:val="18"/>
                <w:szCs w:val="18"/>
              </w:rPr>
            </w:pPr>
            <w:r>
              <w:rPr>
                <w:rFonts w:ascii="宋体" w:hAnsi="宋体" w:eastAsia="宋体"/>
                <w:sz w:val="18"/>
                <w:szCs w:val="18"/>
              </w:rPr>
              <w:t>合计</w:t>
            </w:r>
          </w:p>
        </w:tc>
        <w:tc>
          <w:tcPr>
            <w:tcW w:w="1275" w:type="dxa"/>
            <w:vAlign w:val="center"/>
          </w:tcPr>
          <w:p>
            <w:pPr>
              <w:jc w:val="center"/>
              <w:rPr>
                <w:rFonts w:ascii="宋体" w:hAnsi="宋体" w:eastAsia="宋体"/>
                <w:sz w:val="18"/>
                <w:szCs w:val="18"/>
              </w:rPr>
            </w:pPr>
          </w:p>
        </w:tc>
        <w:tc>
          <w:tcPr>
            <w:tcW w:w="1457" w:type="dxa"/>
            <w:vAlign w:val="center"/>
          </w:tcPr>
          <w:p>
            <w:pPr>
              <w:jc w:val="center"/>
              <w:rPr>
                <w:rFonts w:ascii="宋体" w:hAnsi="宋体" w:eastAsia="宋体"/>
                <w:sz w:val="18"/>
                <w:szCs w:val="18"/>
              </w:rPr>
            </w:pPr>
          </w:p>
        </w:tc>
        <w:tc>
          <w:tcPr>
            <w:tcW w:w="1640" w:type="dxa"/>
            <w:vAlign w:val="center"/>
          </w:tcPr>
          <w:p>
            <w:pPr>
              <w:jc w:val="center"/>
              <w:rPr>
                <w:rFonts w:ascii="宋体" w:hAnsi="宋体" w:eastAsia="宋体"/>
                <w:sz w:val="18"/>
                <w:szCs w:val="18"/>
              </w:rPr>
            </w:pPr>
          </w:p>
        </w:tc>
        <w:tc>
          <w:tcPr>
            <w:tcW w:w="1890" w:type="dxa"/>
            <w:vAlign w:val="center"/>
          </w:tcPr>
          <w:p>
            <w:pPr>
              <w:jc w:val="center"/>
              <w:rPr>
                <w:rFonts w:ascii="宋体" w:hAnsi="宋体" w:eastAsia="宋体"/>
                <w:sz w:val="18"/>
                <w:szCs w:val="18"/>
              </w:rPr>
            </w:pPr>
          </w:p>
        </w:tc>
        <w:tc>
          <w:tcPr>
            <w:tcW w:w="1017" w:type="dxa"/>
            <w:vAlign w:val="center"/>
          </w:tcPr>
          <w:p>
            <w:pPr>
              <w:jc w:val="center"/>
              <w:rPr>
                <w:rFonts w:ascii="宋体" w:hAnsi="宋体" w:eastAsia="宋体"/>
                <w:sz w:val="18"/>
                <w:szCs w:val="18"/>
              </w:rPr>
            </w:pPr>
          </w:p>
        </w:tc>
        <w:tc>
          <w:tcPr>
            <w:tcW w:w="1090" w:type="dxa"/>
            <w:vAlign w:val="center"/>
          </w:tcPr>
          <w:p>
            <w:pPr>
              <w:jc w:val="center"/>
              <w:rPr>
                <w:rFonts w:ascii="宋体" w:hAnsi="宋体" w:eastAsia="宋体"/>
                <w:sz w:val="18"/>
                <w:szCs w:val="18"/>
              </w:rPr>
            </w:pPr>
          </w:p>
        </w:tc>
        <w:tc>
          <w:tcPr>
            <w:tcW w:w="1275" w:type="dxa"/>
            <w:vAlign w:val="center"/>
          </w:tcPr>
          <w:p>
            <w:pPr>
              <w:jc w:val="center"/>
              <w:rPr>
                <w:rFonts w:ascii="宋体" w:hAnsi="宋体" w:eastAsia="宋体"/>
                <w:sz w:val="18"/>
                <w:szCs w:val="18"/>
              </w:rPr>
            </w:pPr>
          </w:p>
        </w:tc>
        <w:tc>
          <w:tcPr>
            <w:tcW w:w="1047" w:type="dxa"/>
            <w:vAlign w:val="center"/>
          </w:tcPr>
          <w:p>
            <w:pPr>
              <w:jc w:val="center"/>
              <w:rPr>
                <w:rFonts w:ascii="宋体" w:hAnsi="宋体" w:eastAsia="宋体"/>
                <w:sz w:val="18"/>
                <w:szCs w:val="18"/>
              </w:rPr>
            </w:pPr>
          </w:p>
        </w:tc>
      </w:tr>
    </w:tbl>
    <w:p>
      <w:pPr>
        <w:spacing w:line="320" w:lineRule="exact"/>
        <w:jc w:val="left"/>
        <w:rPr>
          <w:rFonts w:ascii="宋体" w:hAnsi="宋体" w:eastAsia="宋体"/>
          <w:sz w:val="18"/>
          <w:szCs w:val="18"/>
        </w:rPr>
      </w:pPr>
    </w:p>
    <w:p>
      <w:pPr>
        <w:spacing w:beforeLines="50" w:line="360" w:lineRule="auto"/>
        <w:jc w:val="left"/>
        <w:rPr>
          <w:rFonts w:ascii="仿宋_GB2312" w:hAnsi="仿宋" w:eastAsia="仿宋_GB2312"/>
          <w:sz w:val="32"/>
          <w:szCs w:val="32"/>
        </w:rPr>
      </w:pPr>
    </w:p>
    <w:p>
      <w:pPr>
        <w:widowControl/>
        <w:jc w:val="left"/>
        <w:rPr>
          <w:rFonts w:ascii="仿宋_GB2312" w:hAnsi="仿宋" w:eastAsia="仿宋_GB2312"/>
          <w:sz w:val="32"/>
          <w:szCs w:val="32"/>
        </w:rPr>
      </w:pPr>
      <w:r>
        <w:rPr>
          <w:rFonts w:ascii="仿宋_GB2312" w:hAnsi="仿宋" w:eastAsia="仿宋_GB2312"/>
          <w:sz w:val="32"/>
          <w:szCs w:val="32"/>
        </w:rPr>
        <w:br w:type="page"/>
      </w:r>
      <w:r>
        <w:rPr>
          <w:rFonts w:hint="eastAsia" w:ascii="仿宋_GB2312" w:hAnsi="仿宋" w:eastAsia="仿宋_GB2312"/>
          <w:sz w:val="32"/>
          <w:szCs w:val="32"/>
        </w:rPr>
        <w:t>附表2</w:t>
      </w:r>
    </w:p>
    <w:p>
      <w:pPr>
        <w:spacing w:beforeLines="50" w:afterLines="50" w:line="360" w:lineRule="auto"/>
        <w:jc w:val="center"/>
        <w:outlineLvl w:val="0"/>
        <w:rPr>
          <w:rFonts w:ascii="华文中宋" w:hAnsi="华文中宋" w:eastAsia="华文中宋"/>
          <w:sz w:val="32"/>
          <w:szCs w:val="32"/>
        </w:rPr>
      </w:pPr>
      <w:r>
        <w:rPr>
          <w:rFonts w:hint="eastAsia" w:ascii="华文中宋" w:hAnsi="华文中宋" w:eastAsia="华文中宋"/>
          <w:sz w:val="32"/>
          <w:szCs w:val="32"/>
        </w:rPr>
        <w:t>××省（区、市）光伏发电国家补贴竞价项目申报表</w:t>
      </w:r>
    </w:p>
    <w:tbl>
      <w:tblPr>
        <w:tblW w:w="13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86"/>
        <w:gridCol w:w="566"/>
        <w:gridCol w:w="569"/>
        <w:gridCol w:w="514"/>
        <w:gridCol w:w="723"/>
        <w:gridCol w:w="711"/>
        <w:gridCol w:w="427"/>
        <w:gridCol w:w="568"/>
        <w:gridCol w:w="846"/>
        <w:gridCol w:w="846"/>
        <w:gridCol w:w="846"/>
        <w:gridCol w:w="1130"/>
        <w:gridCol w:w="708"/>
        <w:gridCol w:w="849"/>
        <w:gridCol w:w="995"/>
        <w:gridCol w:w="987"/>
        <w:gridCol w:w="708"/>
        <w:gridCol w:w="849"/>
        <w:gridCol w:w="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86" w:type="dxa"/>
            <w:vAlign w:val="center"/>
          </w:tcPr>
          <w:p>
            <w:pPr>
              <w:adjustRightInd w:val="0"/>
              <w:snapToGrid w:val="0"/>
              <w:jc w:val="center"/>
              <w:rPr>
                <w:rFonts w:ascii="宋体" w:hAnsi="宋体" w:eastAsia="宋体"/>
                <w:sz w:val="18"/>
                <w:szCs w:val="18"/>
              </w:rPr>
            </w:pPr>
            <w:r>
              <w:rPr>
                <w:rFonts w:ascii="宋体" w:hAnsi="宋体" w:eastAsia="宋体"/>
                <w:sz w:val="18"/>
                <w:szCs w:val="18"/>
              </w:rPr>
              <w:t>序号</w:t>
            </w:r>
          </w:p>
        </w:tc>
        <w:tc>
          <w:tcPr>
            <w:tcW w:w="566" w:type="dxa"/>
            <w:vAlign w:val="center"/>
          </w:tcPr>
          <w:p>
            <w:pPr>
              <w:adjustRightInd w:val="0"/>
              <w:snapToGrid w:val="0"/>
              <w:jc w:val="center"/>
              <w:rPr>
                <w:rFonts w:ascii="宋体" w:hAnsi="宋体" w:eastAsia="宋体"/>
                <w:sz w:val="18"/>
                <w:szCs w:val="18"/>
              </w:rPr>
            </w:pPr>
            <w:r>
              <w:rPr>
                <w:rFonts w:ascii="宋体" w:hAnsi="宋体" w:eastAsia="宋体"/>
                <w:sz w:val="18"/>
                <w:szCs w:val="18"/>
              </w:rPr>
              <w:t>项目</w:t>
            </w:r>
          </w:p>
          <w:p>
            <w:pPr>
              <w:adjustRightInd w:val="0"/>
              <w:snapToGrid w:val="0"/>
              <w:jc w:val="center"/>
              <w:rPr>
                <w:rFonts w:ascii="宋体" w:hAnsi="宋体" w:eastAsia="宋体"/>
                <w:sz w:val="18"/>
                <w:szCs w:val="18"/>
              </w:rPr>
            </w:pPr>
            <w:r>
              <w:rPr>
                <w:rFonts w:ascii="宋体" w:hAnsi="宋体" w:eastAsia="宋体"/>
                <w:sz w:val="18"/>
                <w:szCs w:val="18"/>
              </w:rPr>
              <w:t>名称</w:t>
            </w:r>
          </w:p>
        </w:tc>
        <w:tc>
          <w:tcPr>
            <w:tcW w:w="569" w:type="dxa"/>
            <w:vAlign w:val="center"/>
          </w:tcPr>
          <w:p>
            <w:pPr>
              <w:adjustRightInd w:val="0"/>
              <w:snapToGrid w:val="0"/>
              <w:jc w:val="center"/>
              <w:rPr>
                <w:rFonts w:ascii="宋体" w:hAnsi="宋体" w:eastAsia="宋体"/>
                <w:sz w:val="18"/>
                <w:szCs w:val="18"/>
              </w:rPr>
            </w:pPr>
            <w:r>
              <w:rPr>
                <w:rFonts w:ascii="宋体" w:hAnsi="宋体" w:eastAsia="宋体"/>
                <w:sz w:val="18"/>
                <w:szCs w:val="18"/>
              </w:rPr>
              <w:t>项目</w:t>
            </w:r>
          </w:p>
          <w:p>
            <w:pPr>
              <w:adjustRightInd w:val="0"/>
              <w:snapToGrid w:val="0"/>
              <w:jc w:val="center"/>
              <w:rPr>
                <w:rFonts w:ascii="宋体" w:hAnsi="宋体" w:eastAsia="宋体"/>
                <w:sz w:val="18"/>
                <w:szCs w:val="18"/>
              </w:rPr>
            </w:pPr>
            <w:r>
              <w:rPr>
                <w:rFonts w:hint="eastAsia" w:ascii="宋体" w:hAnsi="宋体" w:eastAsia="宋体"/>
                <w:sz w:val="18"/>
                <w:szCs w:val="18"/>
              </w:rPr>
              <w:t>类型</w:t>
            </w:r>
          </w:p>
        </w:tc>
        <w:tc>
          <w:tcPr>
            <w:tcW w:w="514" w:type="dxa"/>
            <w:vAlign w:val="center"/>
          </w:tcPr>
          <w:p>
            <w:pPr>
              <w:adjustRightInd w:val="0"/>
              <w:snapToGrid w:val="0"/>
              <w:jc w:val="center"/>
              <w:rPr>
                <w:rFonts w:ascii="宋体" w:hAnsi="宋体" w:eastAsia="宋体"/>
                <w:sz w:val="18"/>
                <w:szCs w:val="18"/>
              </w:rPr>
            </w:pPr>
            <w:r>
              <w:rPr>
                <w:rFonts w:ascii="宋体" w:hAnsi="宋体" w:eastAsia="宋体"/>
                <w:sz w:val="18"/>
                <w:szCs w:val="18"/>
              </w:rPr>
              <w:t>项目</w:t>
            </w:r>
          </w:p>
          <w:p>
            <w:pPr>
              <w:adjustRightInd w:val="0"/>
              <w:snapToGrid w:val="0"/>
              <w:jc w:val="center"/>
              <w:rPr>
                <w:rFonts w:ascii="宋体" w:hAnsi="宋体" w:eastAsia="宋体"/>
                <w:sz w:val="18"/>
                <w:szCs w:val="18"/>
              </w:rPr>
            </w:pPr>
            <w:r>
              <w:rPr>
                <w:rFonts w:hint="eastAsia" w:ascii="宋体" w:hAnsi="宋体" w:eastAsia="宋体"/>
                <w:sz w:val="18"/>
                <w:szCs w:val="18"/>
              </w:rPr>
              <w:t>地点</w:t>
            </w:r>
          </w:p>
        </w:tc>
        <w:tc>
          <w:tcPr>
            <w:tcW w:w="723"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项目所在资源区</w:t>
            </w:r>
          </w:p>
        </w:tc>
        <w:tc>
          <w:tcPr>
            <w:tcW w:w="711"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项目</w:t>
            </w:r>
          </w:p>
          <w:p>
            <w:pPr>
              <w:adjustRightInd w:val="0"/>
              <w:snapToGrid w:val="0"/>
              <w:jc w:val="center"/>
              <w:rPr>
                <w:rFonts w:ascii="宋体" w:hAnsi="宋体" w:eastAsia="宋体"/>
                <w:sz w:val="18"/>
                <w:szCs w:val="18"/>
              </w:rPr>
            </w:pPr>
            <w:r>
              <w:rPr>
                <w:rFonts w:ascii="宋体" w:hAnsi="宋体" w:eastAsia="宋体"/>
                <w:sz w:val="18"/>
                <w:szCs w:val="18"/>
              </w:rPr>
              <w:t>容量</w:t>
            </w:r>
          </w:p>
          <w:p>
            <w:pPr>
              <w:adjustRightInd w:val="0"/>
              <w:snapToGrid w:val="0"/>
              <w:jc w:val="center"/>
              <w:rPr>
                <w:rFonts w:ascii="宋体" w:hAnsi="宋体" w:eastAsia="宋体"/>
                <w:sz w:val="18"/>
                <w:szCs w:val="18"/>
              </w:rPr>
            </w:pPr>
            <w:r>
              <w:rPr>
                <w:rFonts w:hint="eastAsia" w:ascii="宋体" w:hAnsi="宋体" w:eastAsia="宋体"/>
                <w:sz w:val="18"/>
                <w:szCs w:val="18"/>
              </w:rPr>
              <w:t>（万千瓦）</w:t>
            </w:r>
          </w:p>
        </w:tc>
        <w:tc>
          <w:tcPr>
            <w:tcW w:w="427"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项目</w:t>
            </w:r>
          </w:p>
          <w:p>
            <w:pPr>
              <w:adjustRightInd w:val="0"/>
              <w:snapToGrid w:val="0"/>
              <w:jc w:val="center"/>
              <w:rPr>
                <w:rFonts w:ascii="宋体" w:hAnsi="宋体" w:eastAsia="宋体"/>
                <w:sz w:val="18"/>
                <w:szCs w:val="18"/>
              </w:rPr>
            </w:pPr>
            <w:r>
              <w:rPr>
                <w:rFonts w:hint="eastAsia" w:ascii="宋体" w:hAnsi="宋体" w:eastAsia="宋体"/>
                <w:sz w:val="18"/>
                <w:szCs w:val="18"/>
              </w:rPr>
              <w:t>业主</w:t>
            </w:r>
          </w:p>
        </w:tc>
        <w:tc>
          <w:tcPr>
            <w:tcW w:w="568"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主要投资方</w:t>
            </w:r>
          </w:p>
        </w:tc>
        <w:tc>
          <w:tcPr>
            <w:tcW w:w="846" w:type="dxa"/>
            <w:vAlign w:val="center"/>
          </w:tcPr>
          <w:p>
            <w:pPr>
              <w:adjustRightInd w:val="0"/>
              <w:snapToGrid w:val="0"/>
              <w:jc w:val="center"/>
              <w:rPr>
                <w:rFonts w:ascii="宋体" w:hAnsi="宋体" w:eastAsia="宋体"/>
                <w:sz w:val="18"/>
                <w:szCs w:val="18"/>
              </w:rPr>
            </w:pPr>
            <w:r>
              <w:rPr>
                <w:rFonts w:ascii="宋体" w:hAnsi="宋体" w:eastAsia="宋体"/>
                <w:sz w:val="18"/>
                <w:szCs w:val="18"/>
              </w:rPr>
              <w:t>是否</w:t>
            </w:r>
            <w:r>
              <w:rPr>
                <w:rFonts w:hint="eastAsia" w:ascii="宋体" w:hAnsi="宋体" w:eastAsia="宋体"/>
                <w:sz w:val="18"/>
                <w:szCs w:val="18"/>
              </w:rPr>
              <w:t>进行业主招标</w:t>
            </w:r>
          </w:p>
          <w:p>
            <w:pPr>
              <w:adjustRightInd w:val="0"/>
              <w:snapToGrid w:val="0"/>
              <w:jc w:val="center"/>
              <w:rPr>
                <w:rFonts w:ascii="宋体" w:hAnsi="宋体" w:eastAsia="宋体"/>
                <w:sz w:val="18"/>
                <w:szCs w:val="18"/>
              </w:rPr>
            </w:pPr>
            <w:r>
              <w:rPr>
                <w:rFonts w:hint="eastAsia" w:ascii="宋体" w:hAnsi="宋体" w:eastAsia="宋体"/>
                <w:sz w:val="18"/>
                <w:szCs w:val="18"/>
              </w:rPr>
              <w:t>（是/否）</w:t>
            </w:r>
          </w:p>
        </w:tc>
        <w:tc>
          <w:tcPr>
            <w:tcW w:w="846"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项目预期年发电小时数</w:t>
            </w:r>
          </w:p>
        </w:tc>
        <w:tc>
          <w:tcPr>
            <w:tcW w:w="846"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项目预期年发电量</w:t>
            </w:r>
          </w:p>
          <w:p>
            <w:pPr>
              <w:adjustRightInd w:val="0"/>
              <w:snapToGrid w:val="0"/>
              <w:jc w:val="center"/>
              <w:rPr>
                <w:rFonts w:ascii="宋体" w:hAnsi="宋体" w:eastAsia="宋体"/>
                <w:sz w:val="18"/>
                <w:szCs w:val="18"/>
              </w:rPr>
            </w:pPr>
            <w:r>
              <w:rPr>
                <w:rFonts w:hint="eastAsia" w:ascii="宋体" w:hAnsi="宋体" w:eastAsia="宋体"/>
                <w:sz w:val="18"/>
                <w:szCs w:val="18"/>
              </w:rPr>
              <w:t>（万千瓦时）</w:t>
            </w:r>
          </w:p>
        </w:tc>
        <w:tc>
          <w:tcPr>
            <w:tcW w:w="1130"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本地区最低保障收购小时数或本地区基础利用小时数</w:t>
            </w:r>
          </w:p>
        </w:tc>
        <w:tc>
          <w:tcPr>
            <w:tcW w:w="708"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前期工作开展情况</w:t>
            </w:r>
          </w:p>
        </w:tc>
        <w:tc>
          <w:tcPr>
            <w:tcW w:w="849"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计划（申报）投产时间</w:t>
            </w:r>
          </w:p>
        </w:tc>
        <w:tc>
          <w:tcPr>
            <w:tcW w:w="995"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业主招标竞争配置的中标电价</w:t>
            </w:r>
          </w:p>
          <w:p>
            <w:pPr>
              <w:adjustRightInd w:val="0"/>
              <w:snapToGrid w:val="0"/>
              <w:jc w:val="center"/>
              <w:rPr>
                <w:rFonts w:ascii="宋体" w:hAnsi="宋体" w:eastAsia="宋体"/>
                <w:sz w:val="18"/>
                <w:szCs w:val="18"/>
              </w:rPr>
            </w:pPr>
            <w:r>
              <w:rPr>
                <w:rFonts w:hint="eastAsia" w:ascii="宋体" w:hAnsi="宋体" w:eastAsia="宋体"/>
                <w:sz w:val="18"/>
                <w:szCs w:val="18"/>
              </w:rPr>
              <w:t>（元/千瓦时）</w:t>
            </w:r>
          </w:p>
        </w:tc>
        <w:tc>
          <w:tcPr>
            <w:tcW w:w="987"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补贴竞价申报上网电价</w:t>
            </w:r>
          </w:p>
          <w:p>
            <w:pPr>
              <w:adjustRightInd w:val="0"/>
              <w:snapToGrid w:val="0"/>
              <w:jc w:val="center"/>
              <w:rPr>
                <w:rFonts w:ascii="宋体" w:hAnsi="宋体" w:eastAsia="宋体"/>
                <w:sz w:val="18"/>
                <w:szCs w:val="18"/>
              </w:rPr>
            </w:pPr>
            <w:r>
              <w:rPr>
                <w:rFonts w:hint="eastAsia" w:ascii="宋体" w:hAnsi="宋体" w:eastAsia="宋体"/>
                <w:sz w:val="18"/>
                <w:szCs w:val="18"/>
              </w:rPr>
              <w:t>（元/千瓦时）</w:t>
            </w:r>
          </w:p>
        </w:tc>
        <w:tc>
          <w:tcPr>
            <w:tcW w:w="708"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落实用地的支持性文件</w:t>
            </w:r>
          </w:p>
        </w:tc>
        <w:tc>
          <w:tcPr>
            <w:tcW w:w="849"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落实接网消纳的支持性文件</w:t>
            </w:r>
          </w:p>
        </w:tc>
        <w:tc>
          <w:tcPr>
            <w:tcW w:w="455" w:type="dxa"/>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86" w:type="dxa"/>
            <w:vAlign w:val="center"/>
          </w:tcPr>
          <w:p>
            <w:pPr>
              <w:adjustRightInd w:val="0"/>
              <w:snapToGrid w:val="0"/>
              <w:jc w:val="center"/>
              <w:rPr>
                <w:rFonts w:ascii="宋体" w:hAnsi="宋体" w:eastAsia="宋体"/>
                <w:sz w:val="18"/>
                <w:szCs w:val="18"/>
              </w:rPr>
            </w:pPr>
          </w:p>
        </w:tc>
        <w:tc>
          <w:tcPr>
            <w:tcW w:w="566" w:type="dxa"/>
            <w:vAlign w:val="center"/>
          </w:tcPr>
          <w:p>
            <w:pPr>
              <w:adjustRightInd w:val="0"/>
              <w:snapToGrid w:val="0"/>
              <w:jc w:val="center"/>
              <w:rPr>
                <w:rFonts w:ascii="宋体" w:hAnsi="宋体" w:eastAsia="宋体"/>
                <w:sz w:val="18"/>
                <w:szCs w:val="18"/>
              </w:rPr>
            </w:pPr>
          </w:p>
        </w:tc>
        <w:tc>
          <w:tcPr>
            <w:tcW w:w="569" w:type="dxa"/>
            <w:vAlign w:val="center"/>
          </w:tcPr>
          <w:p>
            <w:pPr>
              <w:adjustRightInd w:val="0"/>
              <w:snapToGrid w:val="0"/>
              <w:jc w:val="center"/>
              <w:rPr>
                <w:rFonts w:ascii="宋体" w:hAnsi="宋体" w:eastAsia="宋体"/>
                <w:sz w:val="18"/>
                <w:szCs w:val="18"/>
              </w:rPr>
            </w:pPr>
          </w:p>
        </w:tc>
        <w:tc>
          <w:tcPr>
            <w:tcW w:w="514" w:type="dxa"/>
            <w:vAlign w:val="center"/>
          </w:tcPr>
          <w:p>
            <w:pPr>
              <w:adjustRightInd w:val="0"/>
              <w:snapToGrid w:val="0"/>
              <w:jc w:val="center"/>
              <w:rPr>
                <w:rFonts w:ascii="宋体" w:hAnsi="宋体" w:eastAsia="宋体"/>
                <w:sz w:val="18"/>
                <w:szCs w:val="18"/>
              </w:rPr>
            </w:pPr>
          </w:p>
        </w:tc>
        <w:tc>
          <w:tcPr>
            <w:tcW w:w="723" w:type="dxa"/>
            <w:vAlign w:val="center"/>
          </w:tcPr>
          <w:p>
            <w:pPr>
              <w:adjustRightInd w:val="0"/>
              <w:snapToGrid w:val="0"/>
              <w:jc w:val="center"/>
              <w:rPr>
                <w:rFonts w:ascii="宋体" w:hAnsi="宋体" w:eastAsia="宋体"/>
                <w:sz w:val="18"/>
                <w:szCs w:val="18"/>
              </w:rPr>
            </w:pPr>
          </w:p>
        </w:tc>
        <w:tc>
          <w:tcPr>
            <w:tcW w:w="711" w:type="dxa"/>
            <w:vAlign w:val="center"/>
          </w:tcPr>
          <w:p>
            <w:pPr>
              <w:adjustRightInd w:val="0"/>
              <w:snapToGrid w:val="0"/>
              <w:jc w:val="center"/>
              <w:rPr>
                <w:rFonts w:ascii="宋体" w:hAnsi="宋体" w:eastAsia="宋体"/>
                <w:sz w:val="18"/>
                <w:szCs w:val="18"/>
              </w:rPr>
            </w:pPr>
          </w:p>
        </w:tc>
        <w:tc>
          <w:tcPr>
            <w:tcW w:w="427" w:type="dxa"/>
            <w:vAlign w:val="center"/>
          </w:tcPr>
          <w:p>
            <w:pPr>
              <w:adjustRightInd w:val="0"/>
              <w:snapToGrid w:val="0"/>
              <w:jc w:val="center"/>
              <w:rPr>
                <w:rFonts w:ascii="宋体" w:hAnsi="宋体" w:eastAsia="宋体"/>
                <w:sz w:val="18"/>
                <w:szCs w:val="18"/>
              </w:rPr>
            </w:pPr>
          </w:p>
        </w:tc>
        <w:tc>
          <w:tcPr>
            <w:tcW w:w="568"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1130" w:type="dxa"/>
            <w:vAlign w:val="center"/>
          </w:tcPr>
          <w:p>
            <w:pPr>
              <w:adjustRightInd w:val="0"/>
              <w:snapToGrid w:val="0"/>
              <w:jc w:val="center"/>
              <w:rPr>
                <w:rFonts w:ascii="宋体" w:hAnsi="宋体" w:eastAsia="宋体"/>
                <w:sz w:val="18"/>
                <w:szCs w:val="18"/>
              </w:rPr>
            </w:pPr>
          </w:p>
        </w:tc>
        <w:tc>
          <w:tcPr>
            <w:tcW w:w="708" w:type="dxa"/>
            <w:vAlign w:val="center"/>
          </w:tcPr>
          <w:p>
            <w:pPr>
              <w:adjustRightInd w:val="0"/>
              <w:snapToGrid w:val="0"/>
              <w:jc w:val="center"/>
              <w:rPr>
                <w:rFonts w:ascii="宋体" w:hAnsi="宋体" w:eastAsia="宋体"/>
                <w:sz w:val="18"/>
                <w:szCs w:val="18"/>
              </w:rPr>
            </w:pPr>
          </w:p>
        </w:tc>
        <w:tc>
          <w:tcPr>
            <w:tcW w:w="849" w:type="dxa"/>
            <w:vAlign w:val="center"/>
          </w:tcPr>
          <w:p>
            <w:pPr>
              <w:adjustRightInd w:val="0"/>
              <w:snapToGrid w:val="0"/>
              <w:jc w:val="center"/>
              <w:rPr>
                <w:rFonts w:ascii="宋体" w:hAnsi="宋体" w:eastAsia="宋体"/>
                <w:sz w:val="18"/>
                <w:szCs w:val="18"/>
              </w:rPr>
            </w:pPr>
          </w:p>
        </w:tc>
        <w:tc>
          <w:tcPr>
            <w:tcW w:w="995" w:type="dxa"/>
            <w:vAlign w:val="center"/>
          </w:tcPr>
          <w:p>
            <w:pPr>
              <w:adjustRightInd w:val="0"/>
              <w:snapToGrid w:val="0"/>
              <w:jc w:val="center"/>
              <w:rPr>
                <w:rFonts w:ascii="宋体" w:hAnsi="宋体" w:eastAsia="宋体"/>
                <w:sz w:val="18"/>
                <w:szCs w:val="18"/>
              </w:rPr>
            </w:pPr>
          </w:p>
        </w:tc>
        <w:tc>
          <w:tcPr>
            <w:tcW w:w="987" w:type="dxa"/>
            <w:vAlign w:val="center"/>
          </w:tcPr>
          <w:p>
            <w:pPr>
              <w:adjustRightInd w:val="0"/>
              <w:snapToGrid w:val="0"/>
              <w:jc w:val="center"/>
              <w:rPr>
                <w:rFonts w:ascii="宋体" w:hAnsi="宋体" w:eastAsia="宋体"/>
                <w:sz w:val="18"/>
                <w:szCs w:val="18"/>
              </w:rPr>
            </w:pPr>
          </w:p>
        </w:tc>
        <w:tc>
          <w:tcPr>
            <w:tcW w:w="708" w:type="dxa"/>
            <w:vAlign w:val="center"/>
          </w:tcPr>
          <w:p>
            <w:pPr>
              <w:adjustRightInd w:val="0"/>
              <w:snapToGrid w:val="0"/>
              <w:jc w:val="center"/>
              <w:rPr>
                <w:rFonts w:ascii="宋体" w:hAnsi="宋体" w:eastAsia="宋体"/>
                <w:sz w:val="18"/>
                <w:szCs w:val="18"/>
              </w:rPr>
            </w:pPr>
          </w:p>
        </w:tc>
        <w:tc>
          <w:tcPr>
            <w:tcW w:w="849" w:type="dxa"/>
            <w:vAlign w:val="center"/>
          </w:tcPr>
          <w:p>
            <w:pPr>
              <w:adjustRightInd w:val="0"/>
              <w:snapToGrid w:val="0"/>
              <w:jc w:val="center"/>
              <w:rPr>
                <w:rFonts w:ascii="宋体" w:hAnsi="宋体" w:eastAsia="宋体"/>
                <w:sz w:val="18"/>
                <w:szCs w:val="18"/>
              </w:rPr>
            </w:pPr>
          </w:p>
        </w:tc>
        <w:tc>
          <w:tcPr>
            <w:tcW w:w="455" w:type="dxa"/>
            <w:vAlign w:val="center"/>
          </w:tcPr>
          <w:p>
            <w:pPr>
              <w:adjustRightInd w:val="0"/>
              <w:snapToGrid w:val="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86" w:type="dxa"/>
            <w:vAlign w:val="center"/>
          </w:tcPr>
          <w:p>
            <w:pPr>
              <w:adjustRightInd w:val="0"/>
              <w:snapToGrid w:val="0"/>
              <w:jc w:val="center"/>
              <w:rPr>
                <w:rFonts w:ascii="宋体" w:hAnsi="宋体" w:eastAsia="宋体"/>
                <w:sz w:val="18"/>
                <w:szCs w:val="18"/>
              </w:rPr>
            </w:pPr>
          </w:p>
        </w:tc>
        <w:tc>
          <w:tcPr>
            <w:tcW w:w="566" w:type="dxa"/>
            <w:vAlign w:val="center"/>
          </w:tcPr>
          <w:p>
            <w:pPr>
              <w:adjustRightInd w:val="0"/>
              <w:snapToGrid w:val="0"/>
              <w:jc w:val="center"/>
              <w:rPr>
                <w:rFonts w:ascii="宋体" w:hAnsi="宋体" w:eastAsia="宋体"/>
                <w:sz w:val="18"/>
                <w:szCs w:val="18"/>
              </w:rPr>
            </w:pPr>
          </w:p>
        </w:tc>
        <w:tc>
          <w:tcPr>
            <w:tcW w:w="569" w:type="dxa"/>
            <w:vAlign w:val="center"/>
          </w:tcPr>
          <w:p>
            <w:pPr>
              <w:adjustRightInd w:val="0"/>
              <w:snapToGrid w:val="0"/>
              <w:jc w:val="center"/>
              <w:rPr>
                <w:rFonts w:ascii="宋体" w:hAnsi="宋体" w:eastAsia="宋体"/>
                <w:sz w:val="18"/>
                <w:szCs w:val="18"/>
              </w:rPr>
            </w:pPr>
          </w:p>
        </w:tc>
        <w:tc>
          <w:tcPr>
            <w:tcW w:w="514" w:type="dxa"/>
            <w:vAlign w:val="center"/>
          </w:tcPr>
          <w:p>
            <w:pPr>
              <w:adjustRightInd w:val="0"/>
              <w:snapToGrid w:val="0"/>
              <w:jc w:val="center"/>
              <w:rPr>
                <w:rFonts w:ascii="宋体" w:hAnsi="宋体" w:eastAsia="宋体"/>
                <w:sz w:val="18"/>
                <w:szCs w:val="18"/>
              </w:rPr>
            </w:pPr>
          </w:p>
        </w:tc>
        <w:tc>
          <w:tcPr>
            <w:tcW w:w="723" w:type="dxa"/>
            <w:vAlign w:val="center"/>
          </w:tcPr>
          <w:p>
            <w:pPr>
              <w:adjustRightInd w:val="0"/>
              <w:snapToGrid w:val="0"/>
              <w:jc w:val="center"/>
              <w:rPr>
                <w:rFonts w:ascii="宋体" w:hAnsi="宋体" w:eastAsia="宋体"/>
                <w:sz w:val="18"/>
                <w:szCs w:val="18"/>
              </w:rPr>
            </w:pPr>
          </w:p>
        </w:tc>
        <w:tc>
          <w:tcPr>
            <w:tcW w:w="711" w:type="dxa"/>
            <w:vAlign w:val="center"/>
          </w:tcPr>
          <w:p>
            <w:pPr>
              <w:adjustRightInd w:val="0"/>
              <w:snapToGrid w:val="0"/>
              <w:jc w:val="center"/>
              <w:rPr>
                <w:rFonts w:ascii="宋体" w:hAnsi="宋体" w:eastAsia="宋体"/>
                <w:sz w:val="18"/>
                <w:szCs w:val="18"/>
              </w:rPr>
            </w:pPr>
          </w:p>
        </w:tc>
        <w:tc>
          <w:tcPr>
            <w:tcW w:w="427" w:type="dxa"/>
            <w:vAlign w:val="center"/>
          </w:tcPr>
          <w:p>
            <w:pPr>
              <w:adjustRightInd w:val="0"/>
              <w:snapToGrid w:val="0"/>
              <w:jc w:val="center"/>
              <w:rPr>
                <w:rFonts w:ascii="宋体" w:hAnsi="宋体" w:eastAsia="宋体"/>
                <w:sz w:val="18"/>
                <w:szCs w:val="18"/>
              </w:rPr>
            </w:pPr>
          </w:p>
        </w:tc>
        <w:tc>
          <w:tcPr>
            <w:tcW w:w="568"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1130" w:type="dxa"/>
            <w:vAlign w:val="center"/>
          </w:tcPr>
          <w:p>
            <w:pPr>
              <w:adjustRightInd w:val="0"/>
              <w:snapToGrid w:val="0"/>
              <w:jc w:val="center"/>
              <w:rPr>
                <w:rFonts w:ascii="宋体" w:hAnsi="宋体" w:eastAsia="宋体"/>
                <w:sz w:val="18"/>
                <w:szCs w:val="18"/>
              </w:rPr>
            </w:pPr>
          </w:p>
        </w:tc>
        <w:tc>
          <w:tcPr>
            <w:tcW w:w="708" w:type="dxa"/>
            <w:vAlign w:val="center"/>
          </w:tcPr>
          <w:p>
            <w:pPr>
              <w:adjustRightInd w:val="0"/>
              <w:snapToGrid w:val="0"/>
              <w:jc w:val="center"/>
              <w:rPr>
                <w:rFonts w:ascii="宋体" w:hAnsi="宋体" w:eastAsia="宋体"/>
                <w:sz w:val="18"/>
                <w:szCs w:val="18"/>
              </w:rPr>
            </w:pPr>
          </w:p>
        </w:tc>
        <w:tc>
          <w:tcPr>
            <w:tcW w:w="849" w:type="dxa"/>
            <w:vAlign w:val="center"/>
          </w:tcPr>
          <w:p>
            <w:pPr>
              <w:adjustRightInd w:val="0"/>
              <w:snapToGrid w:val="0"/>
              <w:jc w:val="center"/>
              <w:rPr>
                <w:rFonts w:ascii="宋体" w:hAnsi="宋体" w:eastAsia="宋体"/>
                <w:sz w:val="18"/>
                <w:szCs w:val="18"/>
              </w:rPr>
            </w:pPr>
          </w:p>
        </w:tc>
        <w:tc>
          <w:tcPr>
            <w:tcW w:w="995" w:type="dxa"/>
            <w:vAlign w:val="center"/>
          </w:tcPr>
          <w:p>
            <w:pPr>
              <w:adjustRightInd w:val="0"/>
              <w:snapToGrid w:val="0"/>
              <w:jc w:val="center"/>
              <w:rPr>
                <w:rFonts w:ascii="宋体" w:hAnsi="宋体" w:eastAsia="宋体"/>
                <w:sz w:val="18"/>
                <w:szCs w:val="18"/>
              </w:rPr>
            </w:pPr>
          </w:p>
        </w:tc>
        <w:tc>
          <w:tcPr>
            <w:tcW w:w="987" w:type="dxa"/>
            <w:vAlign w:val="center"/>
          </w:tcPr>
          <w:p>
            <w:pPr>
              <w:adjustRightInd w:val="0"/>
              <w:snapToGrid w:val="0"/>
              <w:jc w:val="center"/>
              <w:rPr>
                <w:rFonts w:ascii="宋体" w:hAnsi="宋体" w:eastAsia="宋体"/>
                <w:sz w:val="18"/>
                <w:szCs w:val="18"/>
              </w:rPr>
            </w:pPr>
          </w:p>
        </w:tc>
        <w:tc>
          <w:tcPr>
            <w:tcW w:w="708" w:type="dxa"/>
            <w:vAlign w:val="center"/>
          </w:tcPr>
          <w:p>
            <w:pPr>
              <w:adjustRightInd w:val="0"/>
              <w:snapToGrid w:val="0"/>
              <w:jc w:val="center"/>
              <w:rPr>
                <w:rFonts w:ascii="宋体" w:hAnsi="宋体" w:eastAsia="宋体"/>
                <w:sz w:val="18"/>
                <w:szCs w:val="18"/>
              </w:rPr>
            </w:pPr>
          </w:p>
        </w:tc>
        <w:tc>
          <w:tcPr>
            <w:tcW w:w="849" w:type="dxa"/>
            <w:vAlign w:val="center"/>
          </w:tcPr>
          <w:p>
            <w:pPr>
              <w:adjustRightInd w:val="0"/>
              <w:snapToGrid w:val="0"/>
              <w:jc w:val="center"/>
              <w:rPr>
                <w:rFonts w:ascii="宋体" w:hAnsi="宋体" w:eastAsia="宋体"/>
                <w:sz w:val="18"/>
                <w:szCs w:val="18"/>
              </w:rPr>
            </w:pPr>
          </w:p>
        </w:tc>
        <w:tc>
          <w:tcPr>
            <w:tcW w:w="455" w:type="dxa"/>
            <w:vAlign w:val="center"/>
          </w:tcPr>
          <w:p>
            <w:pPr>
              <w:adjustRightInd w:val="0"/>
              <w:snapToGrid w:val="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86" w:type="dxa"/>
            <w:vAlign w:val="center"/>
          </w:tcPr>
          <w:p>
            <w:pPr>
              <w:adjustRightInd w:val="0"/>
              <w:snapToGrid w:val="0"/>
              <w:jc w:val="center"/>
              <w:rPr>
                <w:rFonts w:ascii="宋体" w:hAnsi="宋体" w:eastAsia="宋体"/>
                <w:sz w:val="18"/>
                <w:szCs w:val="18"/>
              </w:rPr>
            </w:pPr>
          </w:p>
        </w:tc>
        <w:tc>
          <w:tcPr>
            <w:tcW w:w="566" w:type="dxa"/>
            <w:vAlign w:val="center"/>
          </w:tcPr>
          <w:p>
            <w:pPr>
              <w:adjustRightInd w:val="0"/>
              <w:snapToGrid w:val="0"/>
              <w:jc w:val="center"/>
              <w:rPr>
                <w:rFonts w:ascii="宋体" w:hAnsi="宋体" w:eastAsia="宋体"/>
                <w:sz w:val="18"/>
                <w:szCs w:val="18"/>
              </w:rPr>
            </w:pPr>
          </w:p>
        </w:tc>
        <w:tc>
          <w:tcPr>
            <w:tcW w:w="569" w:type="dxa"/>
            <w:vAlign w:val="center"/>
          </w:tcPr>
          <w:p>
            <w:pPr>
              <w:adjustRightInd w:val="0"/>
              <w:snapToGrid w:val="0"/>
              <w:jc w:val="center"/>
              <w:rPr>
                <w:rFonts w:ascii="宋体" w:hAnsi="宋体" w:eastAsia="宋体"/>
                <w:sz w:val="18"/>
                <w:szCs w:val="18"/>
              </w:rPr>
            </w:pPr>
          </w:p>
        </w:tc>
        <w:tc>
          <w:tcPr>
            <w:tcW w:w="514" w:type="dxa"/>
            <w:vAlign w:val="center"/>
          </w:tcPr>
          <w:p>
            <w:pPr>
              <w:adjustRightInd w:val="0"/>
              <w:snapToGrid w:val="0"/>
              <w:jc w:val="center"/>
              <w:rPr>
                <w:rFonts w:ascii="宋体" w:hAnsi="宋体" w:eastAsia="宋体"/>
                <w:sz w:val="18"/>
                <w:szCs w:val="18"/>
              </w:rPr>
            </w:pPr>
          </w:p>
        </w:tc>
        <w:tc>
          <w:tcPr>
            <w:tcW w:w="723" w:type="dxa"/>
            <w:vAlign w:val="center"/>
          </w:tcPr>
          <w:p>
            <w:pPr>
              <w:adjustRightInd w:val="0"/>
              <w:snapToGrid w:val="0"/>
              <w:jc w:val="center"/>
              <w:rPr>
                <w:rFonts w:ascii="宋体" w:hAnsi="宋体" w:eastAsia="宋体"/>
                <w:sz w:val="18"/>
                <w:szCs w:val="18"/>
              </w:rPr>
            </w:pPr>
          </w:p>
        </w:tc>
        <w:tc>
          <w:tcPr>
            <w:tcW w:w="711" w:type="dxa"/>
            <w:vAlign w:val="center"/>
          </w:tcPr>
          <w:p>
            <w:pPr>
              <w:adjustRightInd w:val="0"/>
              <w:snapToGrid w:val="0"/>
              <w:jc w:val="center"/>
              <w:rPr>
                <w:rFonts w:ascii="宋体" w:hAnsi="宋体" w:eastAsia="宋体"/>
                <w:sz w:val="18"/>
                <w:szCs w:val="18"/>
              </w:rPr>
            </w:pPr>
          </w:p>
        </w:tc>
        <w:tc>
          <w:tcPr>
            <w:tcW w:w="427" w:type="dxa"/>
            <w:vAlign w:val="center"/>
          </w:tcPr>
          <w:p>
            <w:pPr>
              <w:adjustRightInd w:val="0"/>
              <w:snapToGrid w:val="0"/>
              <w:jc w:val="center"/>
              <w:rPr>
                <w:rFonts w:ascii="宋体" w:hAnsi="宋体" w:eastAsia="宋体"/>
                <w:sz w:val="18"/>
                <w:szCs w:val="18"/>
              </w:rPr>
            </w:pPr>
          </w:p>
        </w:tc>
        <w:tc>
          <w:tcPr>
            <w:tcW w:w="568"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1130" w:type="dxa"/>
            <w:vAlign w:val="center"/>
          </w:tcPr>
          <w:p>
            <w:pPr>
              <w:adjustRightInd w:val="0"/>
              <w:snapToGrid w:val="0"/>
              <w:jc w:val="center"/>
              <w:rPr>
                <w:rFonts w:ascii="宋体" w:hAnsi="宋体" w:eastAsia="宋体"/>
                <w:sz w:val="18"/>
                <w:szCs w:val="18"/>
              </w:rPr>
            </w:pPr>
          </w:p>
        </w:tc>
        <w:tc>
          <w:tcPr>
            <w:tcW w:w="708" w:type="dxa"/>
            <w:vAlign w:val="center"/>
          </w:tcPr>
          <w:p>
            <w:pPr>
              <w:adjustRightInd w:val="0"/>
              <w:snapToGrid w:val="0"/>
              <w:jc w:val="center"/>
              <w:rPr>
                <w:rFonts w:ascii="宋体" w:hAnsi="宋体" w:eastAsia="宋体"/>
                <w:sz w:val="18"/>
                <w:szCs w:val="18"/>
              </w:rPr>
            </w:pPr>
          </w:p>
        </w:tc>
        <w:tc>
          <w:tcPr>
            <w:tcW w:w="849" w:type="dxa"/>
            <w:vAlign w:val="center"/>
          </w:tcPr>
          <w:p>
            <w:pPr>
              <w:adjustRightInd w:val="0"/>
              <w:snapToGrid w:val="0"/>
              <w:jc w:val="center"/>
              <w:rPr>
                <w:rFonts w:ascii="宋体" w:hAnsi="宋体" w:eastAsia="宋体"/>
                <w:sz w:val="18"/>
                <w:szCs w:val="18"/>
              </w:rPr>
            </w:pPr>
          </w:p>
        </w:tc>
        <w:tc>
          <w:tcPr>
            <w:tcW w:w="995" w:type="dxa"/>
            <w:vAlign w:val="center"/>
          </w:tcPr>
          <w:p>
            <w:pPr>
              <w:adjustRightInd w:val="0"/>
              <w:snapToGrid w:val="0"/>
              <w:jc w:val="center"/>
              <w:rPr>
                <w:rFonts w:ascii="宋体" w:hAnsi="宋体" w:eastAsia="宋体"/>
                <w:sz w:val="18"/>
                <w:szCs w:val="18"/>
              </w:rPr>
            </w:pPr>
          </w:p>
        </w:tc>
        <w:tc>
          <w:tcPr>
            <w:tcW w:w="987" w:type="dxa"/>
            <w:vAlign w:val="center"/>
          </w:tcPr>
          <w:p>
            <w:pPr>
              <w:adjustRightInd w:val="0"/>
              <w:snapToGrid w:val="0"/>
              <w:jc w:val="center"/>
              <w:rPr>
                <w:rFonts w:ascii="宋体" w:hAnsi="宋体" w:eastAsia="宋体"/>
                <w:sz w:val="18"/>
                <w:szCs w:val="18"/>
              </w:rPr>
            </w:pPr>
          </w:p>
        </w:tc>
        <w:tc>
          <w:tcPr>
            <w:tcW w:w="708" w:type="dxa"/>
            <w:vAlign w:val="center"/>
          </w:tcPr>
          <w:p>
            <w:pPr>
              <w:adjustRightInd w:val="0"/>
              <w:snapToGrid w:val="0"/>
              <w:jc w:val="center"/>
              <w:rPr>
                <w:rFonts w:ascii="宋体" w:hAnsi="宋体" w:eastAsia="宋体"/>
                <w:sz w:val="18"/>
                <w:szCs w:val="18"/>
              </w:rPr>
            </w:pPr>
          </w:p>
        </w:tc>
        <w:tc>
          <w:tcPr>
            <w:tcW w:w="849" w:type="dxa"/>
            <w:vAlign w:val="center"/>
          </w:tcPr>
          <w:p>
            <w:pPr>
              <w:adjustRightInd w:val="0"/>
              <w:snapToGrid w:val="0"/>
              <w:jc w:val="center"/>
              <w:rPr>
                <w:rFonts w:ascii="宋体" w:hAnsi="宋体" w:eastAsia="宋体"/>
                <w:sz w:val="18"/>
                <w:szCs w:val="18"/>
              </w:rPr>
            </w:pPr>
          </w:p>
        </w:tc>
        <w:tc>
          <w:tcPr>
            <w:tcW w:w="455" w:type="dxa"/>
            <w:vAlign w:val="center"/>
          </w:tcPr>
          <w:p>
            <w:pPr>
              <w:adjustRightInd w:val="0"/>
              <w:snapToGrid w:val="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86" w:type="dxa"/>
            <w:vAlign w:val="center"/>
          </w:tcPr>
          <w:p>
            <w:pPr>
              <w:adjustRightInd w:val="0"/>
              <w:snapToGrid w:val="0"/>
              <w:jc w:val="center"/>
              <w:rPr>
                <w:rFonts w:ascii="宋体" w:hAnsi="宋体" w:eastAsia="宋体"/>
                <w:sz w:val="18"/>
                <w:szCs w:val="18"/>
              </w:rPr>
            </w:pPr>
          </w:p>
        </w:tc>
        <w:tc>
          <w:tcPr>
            <w:tcW w:w="566" w:type="dxa"/>
            <w:vAlign w:val="center"/>
          </w:tcPr>
          <w:p>
            <w:pPr>
              <w:adjustRightInd w:val="0"/>
              <w:snapToGrid w:val="0"/>
              <w:jc w:val="center"/>
              <w:rPr>
                <w:rFonts w:ascii="宋体" w:hAnsi="宋体" w:eastAsia="宋体"/>
                <w:sz w:val="18"/>
                <w:szCs w:val="18"/>
              </w:rPr>
            </w:pPr>
          </w:p>
        </w:tc>
        <w:tc>
          <w:tcPr>
            <w:tcW w:w="569" w:type="dxa"/>
            <w:vAlign w:val="center"/>
          </w:tcPr>
          <w:p>
            <w:pPr>
              <w:adjustRightInd w:val="0"/>
              <w:snapToGrid w:val="0"/>
              <w:jc w:val="center"/>
              <w:rPr>
                <w:rFonts w:ascii="宋体" w:hAnsi="宋体" w:eastAsia="宋体"/>
                <w:sz w:val="18"/>
                <w:szCs w:val="18"/>
              </w:rPr>
            </w:pPr>
          </w:p>
        </w:tc>
        <w:tc>
          <w:tcPr>
            <w:tcW w:w="514" w:type="dxa"/>
            <w:vAlign w:val="center"/>
          </w:tcPr>
          <w:p>
            <w:pPr>
              <w:adjustRightInd w:val="0"/>
              <w:snapToGrid w:val="0"/>
              <w:jc w:val="center"/>
              <w:rPr>
                <w:rFonts w:ascii="宋体" w:hAnsi="宋体" w:eastAsia="宋体"/>
                <w:sz w:val="18"/>
                <w:szCs w:val="18"/>
              </w:rPr>
            </w:pPr>
          </w:p>
        </w:tc>
        <w:tc>
          <w:tcPr>
            <w:tcW w:w="723" w:type="dxa"/>
            <w:vAlign w:val="center"/>
          </w:tcPr>
          <w:p>
            <w:pPr>
              <w:adjustRightInd w:val="0"/>
              <w:snapToGrid w:val="0"/>
              <w:jc w:val="center"/>
              <w:rPr>
                <w:rFonts w:ascii="宋体" w:hAnsi="宋体" w:eastAsia="宋体"/>
                <w:sz w:val="18"/>
                <w:szCs w:val="18"/>
              </w:rPr>
            </w:pPr>
          </w:p>
        </w:tc>
        <w:tc>
          <w:tcPr>
            <w:tcW w:w="711" w:type="dxa"/>
            <w:vAlign w:val="center"/>
          </w:tcPr>
          <w:p>
            <w:pPr>
              <w:adjustRightInd w:val="0"/>
              <w:snapToGrid w:val="0"/>
              <w:jc w:val="center"/>
              <w:rPr>
                <w:rFonts w:ascii="宋体" w:hAnsi="宋体" w:eastAsia="宋体"/>
                <w:sz w:val="18"/>
                <w:szCs w:val="18"/>
              </w:rPr>
            </w:pPr>
          </w:p>
        </w:tc>
        <w:tc>
          <w:tcPr>
            <w:tcW w:w="427" w:type="dxa"/>
            <w:vAlign w:val="center"/>
          </w:tcPr>
          <w:p>
            <w:pPr>
              <w:adjustRightInd w:val="0"/>
              <w:snapToGrid w:val="0"/>
              <w:jc w:val="center"/>
              <w:rPr>
                <w:rFonts w:ascii="宋体" w:hAnsi="宋体" w:eastAsia="宋体"/>
                <w:sz w:val="18"/>
                <w:szCs w:val="18"/>
              </w:rPr>
            </w:pPr>
          </w:p>
        </w:tc>
        <w:tc>
          <w:tcPr>
            <w:tcW w:w="568"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1130" w:type="dxa"/>
            <w:vAlign w:val="center"/>
          </w:tcPr>
          <w:p>
            <w:pPr>
              <w:adjustRightInd w:val="0"/>
              <w:snapToGrid w:val="0"/>
              <w:jc w:val="center"/>
              <w:rPr>
                <w:rFonts w:ascii="宋体" w:hAnsi="宋体" w:eastAsia="宋体"/>
                <w:sz w:val="18"/>
                <w:szCs w:val="18"/>
              </w:rPr>
            </w:pPr>
          </w:p>
        </w:tc>
        <w:tc>
          <w:tcPr>
            <w:tcW w:w="708" w:type="dxa"/>
            <w:vAlign w:val="center"/>
          </w:tcPr>
          <w:p>
            <w:pPr>
              <w:adjustRightInd w:val="0"/>
              <w:snapToGrid w:val="0"/>
              <w:jc w:val="center"/>
              <w:rPr>
                <w:rFonts w:ascii="宋体" w:hAnsi="宋体" w:eastAsia="宋体"/>
                <w:sz w:val="18"/>
                <w:szCs w:val="18"/>
              </w:rPr>
            </w:pPr>
          </w:p>
        </w:tc>
        <w:tc>
          <w:tcPr>
            <w:tcW w:w="849" w:type="dxa"/>
            <w:vAlign w:val="center"/>
          </w:tcPr>
          <w:p>
            <w:pPr>
              <w:adjustRightInd w:val="0"/>
              <w:snapToGrid w:val="0"/>
              <w:jc w:val="center"/>
              <w:rPr>
                <w:rFonts w:ascii="宋体" w:hAnsi="宋体" w:eastAsia="宋体"/>
                <w:sz w:val="18"/>
                <w:szCs w:val="18"/>
              </w:rPr>
            </w:pPr>
          </w:p>
        </w:tc>
        <w:tc>
          <w:tcPr>
            <w:tcW w:w="995" w:type="dxa"/>
            <w:vAlign w:val="center"/>
          </w:tcPr>
          <w:p>
            <w:pPr>
              <w:adjustRightInd w:val="0"/>
              <w:snapToGrid w:val="0"/>
              <w:jc w:val="center"/>
              <w:rPr>
                <w:rFonts w:ascii="宋体" w:hAnsi="宋体" w:eastAsia="宋体"/>
                <w:sz w:val="18"/>
                <w:szCs w:val="18"/>
              </w:rPr>
            </w:pPr>
          </w:p>
        </w:tc>
        <w:tc>
          <w:tcPr>
            <w:tcW w:w="987" w:type="dxa"/>
            <w:vAlign w:val="center"/>
          </w:tcPr>
          <w:p>
            <w:pPr>
              <w:adjustRightInd w:val="0"/>
              <w:snapToGrid w:val="0"/>
              <w:jc w:val="center"/>
              <w:rPr>
                <w:rFonts w:ascii="宋体" w:hAnsi="宋体" w:eastAsia="宋体"/>
                <w:sz w:val="18"/>
                <w:szCs w:val="18"/>
              </w:rPr>
            </w:pPr>
          </w:p>
        </w:tc>
        <w:tc>
          <w:tcPr>
            <w:tcW w:w="708" w:type="dxa"/>
            <w:vAlign w:val="center"/>
          </w:tcPr>
          <w:p>
            <w:pPr>
              <w:adjustRightInd w:val="0"/>
              <w:snapToGrid w:val="0"/>
              <w:jc w:val="center"/>
              <w:rPr>
                <w:rFonts w:ascii="宋体" w:hAnsi="宋体" w:eastAsia="宋体"/>
                <w:sz w:val="18"/>
                <w:szCs w:val="18"/>
              </w:rPr>
            </w:pPr>
          </w:p>
        </w:tc>
        <w:tc>
          <w:tcPr>
            <w:tcW w:w="849" w:type="dxa"/>
            <w:vAlign w:val="center"/>
          </w:tcPr>
          <w:p>
            <w:pPr>
              <w:adjustRightInd w:val="0"/>
              <w:snapToGrid w:val="0"/>
              <w:jc w:val="center"/>
              <w:rPr>
                <w:rFonts w:ascii="宋体" w:hAnsi="宋体" w:eastAsia="宋体"/>
                <w:sz w:val="18"/>
                <w:szCs w:val="18"/>
              </w:rPr>
            </w:pPr>
          </w:p>
        </w:tc>
        <w:tc>
          <w:tcPr>
            <w:tcW w:w="455" w:type="dxa"/>
            <w:vAlign w:val="center"/>
          </w:tcPr>
          <w:p>
            <w:pPr>
              <w:adjustRightInd w:val="0"/>
              <w:snapToGrid w:val="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58" w:type="dxa"/>
            <w:gridSpan w:val="5"/>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合计</w:t>
            </w:r>
          </w:p>
        </w:tc>
        <w:tc>
          <w:tcPr>
            <w:tcW w:w="711" w:type="dxa"/>
            <w:vAlign w:val="center"/>
          </w:tcPr>
          <w:p>
            <w:pPr>
              <w:adjustRightInd w:val="0"/>
              <w:snapToGrid w:val="0"/>
              <w:jc w:val="center"/>
              <w:rPr>
                <w:rFonts w:ascii="宋体" w:hAnsi="宋体" w:eastAsia="宋体"/>
                <w:sz w:val="18"/>
                <w:szCs w:val="18"/>
              </w:rPr>
            </w:pPr>
          </w:p>
        </w:tc>
        <w:tc>
          <w:tcPr>
            <w:tcW w:w="427" w:type="dxa"/>
            <w:vAlign w:val="center"/>
          </w:tcPr>
          <w:p>
            <w:pPr>
              <w:adjustRightInd w:val="0"/>
              <w:snapToGrid w:val="0"/>
              <w:jc w:val="center"/>
              <w:rPr>
                <w:rFonts w:ascii="宋体" w:hAnsi="宋体" w:eastAsia="宋体"/>
                <w:sz w:val="18"/>
                <w:szCs w:val="18"/>
              </w:rPr>
            </w:pPr>
          </w:p>
        </w:tc>
        <w:tc>
          <w:tcPr>
            <w:tcW w:w="568"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846" w:type="dxa"/>
            <w:vAlign w:val="center"/>
          </w:tcPr>
          <w:p>
            <w:pPr>
              <w:adjustRightInd w:val="0"/>
              <w:snapToGrid w:val="0"/>
              <w:jc w:val="center"/>
              <w:rPr>
                <w:rFonts w:ascii="宋体" w:hAnsi="宋体" w:eastAsia="宋体"/>
                <w:sz w:val="18"/>
                <w:szCs w:val="18"/>
              </w:rPr>
            </w:pPr>
          </w:p>
        </w:tc>
        <w:tc>
          <w:tcPr>
            <w:tcW w:w="1130" w:type="dxa"/>
            <w:vAlign w:val="center"/>
          </w:tcPr>
          <w:p>
            <w:pPr>
              <w:adjustRightInd w:val="0"/>
              <w:snapToGrid w:val="0"/>
              <w:jc w:val="center"/>
              <w:rPr>
                <w:rFonts w:ascii="宋体" w:hAnsi="宋体" w:eastAsia="宋体"/>
                <w:sz w:val="18"/>
                <w:szCs w:val="18"/>
              </w:rPr>
            </w:pPr>
          </w:p>
        </w:tc>
        <w:tc>
          <w:tcPr>
            <w:tcW w:w="708" w:type="dxa"/>
            <w:vAlign w:val="center"/>
          </w:tcPr>
          <w:p>
            <w:pPr>
              <w:adjustRightInd w:val="0"/>
              <w:snapToGrid w:val="0"/>
              <w:jc w:val="center"/>
              <w:rPr>
                <w:rFonts w:ascii="宋体" w:hAnsi="宋体" w:eastAsia="宋体"/>
                <w:sz w:val="18"/>
                <w:szCs w:val="18"/>
              </w:rPr>
            </w:pPr>
          </w:p>
        </w:tc>
        <w:tc>
          <w:tcPr>
            <w:tcW w:w="849" w:type="dxa"/>
            <w:vAlign w:val="center"/>
          </w:tcPr>
          <w:p>
            <w:pPr>
              <w:adjustRightInd w:val="0"/>
              <w:snapToGrid w:val="0"/>
              <w:jc w:val="center"/>
              <w:rPr>
                <w:rFonts w:ascii="宋体" w:hAnsi="宋体" w:eastAsia="宋体"/>
                <w:sz w:val="18"/>
                <w:szCs w:val="18"/>
              </w:rPr>
            </w:pPr>
          </w:p>
        </w:tc>
        <w:tc>
          <w:tcPr>
            <w:tcW w:w="995" w:type="dxa"/>
            <w:vAlign w:val="center"/>
          </w:tcPr>
          <w:p>
            <w:pPr>
              <w:adjustRightInd w:val="0"/>
              <w:snapToGrid w:val="0"/>
              <w:jc w:val="center"/>
              <w:rPr>
                <w:rFonts w:ascii="宋体" w:hAnsi="宋体" w:eastAsia="宋体"/>
                <w:sz w:val="18"/>
                <w:szCs w:val="18"/>
              </w:rPr>
            </w:pPr>
          </w:p>
        </w:tc>
        <w:tc>
          <w:tcPr>
            <w:tcW w:w="987" w:type="dxa"/>
            <w:vAlign w:val="center"/>
          </w:tcPr>
          <w:p>
            <w:pPr>
              <w:adjustRightInd w:val="0"/>
              <w:snapToGrid w:val="0"/>
              <w:jc w:val="center"/>
              <w:rPr>
                <w:rFonts w:ascii="宋体" w:hAnsi="宋体" w:eastAsia="宋体"/>
                <w:sz w:val="18"/>
                <w:szCs w:val="18"/>
              </w:rPr>
            </w:pPr>
          </w:p>
        </w:tc>
        <w:tc>
          <w:tcPr>
            <w:tcW w:w="708" w:type="dxa"/>
            <w:vAlign w:val="center"/>
          </w:tcPr>
          <w:p>
            <w:pPr>
              <w:adjustRightInd w:val="0"/>
              <w:snapToGrid w:val="0"/>
              <w:jc w:val="center"/>
              <w:rPr>
                <w:rFonts w:ascii="宋体" w:hAnsi="宋体" w:eastAsia="宋体"/>
                <w:sz w:val="18"/>
                <w:szCs w:val="18"/>
              </w:rPr>
            </w:pPr>
          </w:p>
        </w:tc>
        <w:tc>
          <w:tcPr>
            <w:tcW w:w="849" w:type="dxa"/>
            <w:vAlign w:val="center"/>
          </w:tcPr>
          <w:p>
            <w:pPr>
              <w:adjustRightInd w:val="0"/>
              <w:snapToGrid w:val="0"/>
              <w:jc w:val="center"/>
              <w:rPr>
                <w:rFonts w:ascii="宋体" w:hAnsi="宋体" w:eastAsia="宋体"/>
                <w:sz w:val="18"/>
                <w:szCs w:val="18"/>
              </w:rPr>
            </w:pPr>
          </w:p>
        </w:tc>
        <w:tc>
          <w:tcPr>
            <w:tcW w:w="455" w:type="dxa"/>
            <w:vAlign w:val="center"/>
          </w:tcPr>
          <w:p>
            <w:pPr>
              <w:adjustRightInd w:val="0"/>
              <w:snapToGrid w:val="0"/>
              <w:jc w:val="center"/>
              <w:rPr>
                <w:rFonts w:ascii="宋体" w:hAnsi="宋体" w:eastAsia="宋体"/>
                <w:sz w:val="18"/>
                <w:szCs w:val="18"/>
              </w:rPr>
            </w:pPr>
          </w:p>
        </w:tc>
      </w:tr>
    </w:tbl>
    <w:p>
      <w:pPr>
        <w:spacing w:line="320" w:lineRule="exact"/>
        <w:jc w:val="left"/>
        <w:rPr>
          <w:rFonts w:ascii="宋体" w:hAnsi="宋体" w:eastAsia="宋体"/>
          <w:sz w:val="18"/>
          <w:szCs w:val="18"/>
        </w:rPr>
      </w:pPr>
      <w:r>
        <w:rPr>
          <w:rFonts w:hint="eastAsia" w:ascii="宋体" w:hAnsi="宋体" w:eastAsia="宋体"/>
          <w:sz w:val="18"/>
          <w:szCs w:val="18"/>
        </w:rPr>
        <w:t>说明：1.项目类型：填写“普通光伏电站（集中式光伏）”、“全额上网工商业分布式光伏”或“自发自用、余电上网工商业分布式光伏”。</w:t>
      </w:r>
    </w:p>
    <w:p>
      <w:pPr>
        <w:spacing w:line="320" w:lineRule="exact"/>
        <w:ind w:firstLine="540" w:firstLineChars="300"/>
        <w:jc w:val="left"/>
        <w:rPr>
          <w:rFonts w:ascii="宋体" w:hAnsi="宋体" w:eastAsia="宋体"/>
          <w:sz w:val="18"/>
          <w:szCs w:val="18"/>
        </w:rPr>
      </w:pPr>
      <w:r>
        <w:rPr>
          <w:rFonts w:hint="eastAsia" w:ascii="宋体" w:hAnsi="宋体" w:eastAsia="宋体"/>
          <w:sz w:val="18"/>
          <w:szCs w:val="18"/>
        </w:rPr>
        <w:t>2.项目地点：填写项目所在行政区域，具体到市、县。</w:t>
      </w:r>
    </w:p>
    <w:p>
      <w:pPr>
        <w:spacing w:line="320" w:lineRule="exact"/>
        <w:ind w:firstLine="540" w:firstLineChars="300"/>
        <w:jc w:val="left"/>
        <w:rPr>
          <w:rFonts w:ascii="宋体" w:hAnsi="宋体" w:eastAsia="宋体"/>
          <w:sz w:val="18"/>
          <w:szCs w:val="18"/>
        </w:rPr>
      </w:pPr>
      <w:r>
        <w:rPr>
          <w:rFonts w:hint="eastAsia" w:ascii="宋体" w:hAnsi="宋体" w:eastAsia="宋体"/>
          <w:sz w:val="18"/>
          <w:szCs w:val="18"/>
        </w:rPr>
        <w:t>3.主要投资方：填写最高级母公司名称。</w:t>
      </w:r>
    </w:p>
    <w:p>
      <w:pPr>
        <w:spacing w:line="320" w:lineRule="exact"/>
        <w:ind w:firstLine="540" w:firstLineChars="300"/>
        <w:jc w:val="left"/>
        <w:rPr>
          <w:rFonts w:ascii="宋体" w:hAnsi="宋体" w:eastAsia="宋体"/>
          <w:sz w:val="18"/>
          <w:szCs w:val="18"/>
        </w:rPr>
      </w:pPr>
      <w:r>
        <w:rPr>
          <w:rFonts w:hint="eastAsia" w:ascii="宋体" w:hAnsi="宋体" w:eastAsia="宋体"/>
          <w:sz w:val="18"/>
          <w:szCs w:val="18"/>
        </w:rPr>
        <w:t>4.预期年发电小时数和发电量：填写项目全容量并网后经营期预期发电小时数和发电量，取整数。</w:t>
      </w:r>
    </w:p>
    <w:p>
      <w:pPr>
        <w:spacing w:line="320" w:lineRule="exact"/>
        <w:ind w:firstLine="540" w:firstLineChars="300"/>
        <w:jc w:val="left"/>
        <w:rPr>
          <w:rFonts w:ascii="宋体" w:hAnsi="宋体" w:eastAsia="宋体"/>
          <w:sz w:val="18"/>
          <w:szCs w:val="18"/>
        </w:rPr>
      </w:pPr>
      <w:r>
        <w:rPr>
          <w:rFonts w:hint="eastAsia" w:ascii="宋体" w:hAnsi="宋体" w:eastAsia="宋体"/>
          <w:sz w:val="18"/>
          <w:szCs w:val="18"/>
        </w:rPr>
        <w:t>5.计划（申报）投产时间：未建成项目填写项目预计全容量并网发电时间，已建成项目填写申报投产时间（作为补贴起算时点），精确到年月。</w:t>
      </w:r>
    </w:p>
    <w:p>
      <w:pPr>
        <w:spacing w:line="320" w:lineRule="exact"/>
        <w:ind w:firstLine="540" w:firstLineChars="300"/>
        <w:jc w:val="left"/>
        <w:rPr>
          <w:rFonts w:ascii="宋体" w:hAnsi="宋体" w:eastAsia="宋体"/>
          <w:sz w:val="18"/>
          <w:szCs w:val="18"/>
        </w:rPr>
      </w:pPr>
      <w:r>
        <w:rPr>
          <w:rFonts w:hint="eastAsia" w:ascii="宋体" w:hAnsi="宋体" w:eastAsia="宋体"/>
          <w:sz w:val="18"/>
          <w:szCs w:val="18"/>
        </w:rPr>
        <w:t>6.落实接网消纳的支持性文件：按照电网企业出具接网消纳函件填写，并附文号。工商业分布式项目可仅提供所在地市或省份的电网企业针对多个分布式项目（或新增分布式项目装机总量）统一出具的接网消纳文件，并附文号。</w:t>
      </w:r>
    </w:p>
    <w:p>
      <w:pPr>
        <w:spacing w:line="588" w:lineRule="exact"/>
        <w:ind w:firstLine="640" w:firstLineChars="200"/>
        <w:rPr>
          <w:rFonts w:ascii="Times New Roman" w:hAnsi="Times New Roman" w:eastAsia="仿宋_GB2312" w:cs="Times New Roman"/>
          <w:sz w:val="32"/>
          <w:szCs w:val="32"/>
        </w:rPr>
      </w:pPr>
    </w:p>
    <w:p>
      <w:pPr>
        <w:spacing w:line="588" w:lineRule="exact"/>
        <w:ind w:firstLine="640" w:firstLineChars="200"/>
        <w:rPr>
          <w:rFonts w:ascii="Times New Roman" w:hAnsi="Times New Roman" w:eastAsia="仿宋_GB2312" w:cs="Times New Roman"/>
          <w:sz w:val="32"/>
          <w:szCs w:val="32"/>
        </w:rPr>
      </w:pPr>
    </w:p>
    <w:p>
      <w:pPr>
        <w:spacing w:line="588" w:lineRule="exact"/>
        <w:ind w:firstLine="640" w:firstLineChars="200"/>
        <w:rPr>
          <w:rFonts w:ascii="Times New Roman" w:hAnsi="Times New Roman" w:eastAsia="仿宋_GB2312" w:cs="Times New Roman"/>
          <w:sz w:val="32"/>
          <w:szCs w:val="32"/>
        </w:rPr>
      </w:pPr>
    </w:p>
    <w:sectPr>
      <w:pgSz w:w="16838" w:h="11906" w:orient="landscape"/>
      <w:pgMar w:top="1616" w:right="1985" w:bottom="1616"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0002AFF" w:usb1="C000247B" w:usb2="00000009" w:usb3="00000000" w:csb0="200001FF" w:csb1="00000000"/>
  </w:font>
  <w:font w:name="方正小标宋_GBK">
    <w:altName w:val="微软雅黑"/>
    <w:panose1 w:val="03000509000000000000"/>
    <w:charset w:val="86"/>
    <w:family w:val="auto"/>
    <w:pitch w:val="default"/>
    <w:sig w:usb0="00000001" w:usb1="080E0000" w:usb2="00000010" w:usb3="00000000" w:csb0="00040000" w:csb1="00000000"/>
  </w:font>
  <w:font w:name="方正楷体_GBK">
    <w:altName w:val="宋体"/>
    <w:panose1 w:val="03000509000000000000"/>
    <w:charset w:val="86"/>
    <w:family w:val="auto"/>
    <w:pitch w:val="default"/>
    <w:sig w:usb0="00000001" w:usb1="080E0000" w:usb2="0000001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方正黑体_GBK">
    <w:altName w:val="黑体"/>
    <w:panose1 w:val="03000509000000000000"/>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方正仿宋_GBK">
    <w:altName w:val="微软雅黑"/>
    <w:panose1 w:val="03000509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paragraph" w:styleId="2">
    <w:name w:val="annotation subject"/>
    <w:basedOn w:val="3"/>
    <w:next w:val="3"/>
    <w:link w:val="15"/>
    <w:semiHidden/>
    <w:unhideWhenUsed/>
    <w:uiPriority w:val="99"/>
    <w:rPr>
      <w:b/>
      <w:bCs/>
    </w:rPr>
  </w:style>
  <w:style w:type="paragraph" w:styleId="3">
    <w:name w:val="annotation text"/>
    <w:basedOn w:val="1"/>
    <w:link w:val="14"/>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0"/>
    <w:pPr>
      <w:ind w:firstLine="0" w:firstLineChars="0"/>
      <w:jc w:val="center"/>
      <w:outlineLvl w:val="0"/>
    </w:pPr>
    <w:rPr>
      <w:rFonts w:eastAsia="方正小标宋_GBK"/>
      <w:bCs/>
      <w:sz w:val="36"/>
      <w:szCs w:val="32"/>
    </w:rPr>
  </w:style>
  <w:style w:type="character" w:styleId="9">
    <w:name w:val="annotation reference"/>
    <w:basedOn w:val="8"/>
    <w:semiHidden/>
    <w:unhideWhenUsed/>
    <w:uiPriority w:val="99"/>
    <w:rPr>
      <w:sz w:val="21"/>
      <w:szCs w:val="21"/>
    </w:rPr>
  </w:style>
  <w:style w:type="paragraph" w:customStyle="1" w:styleId="10">
    <w:name w:val="文号居中"/>
    <w:basedOn w:val="1"/>
    <w:next w:val="1"/>
    <w:uiPriority w:val="0"/>
    <w:pPr>
      <w:spacing w:line="588" w:lineRule="exact"/>
      <w:ind w:firstLine="0" w:firstLineChars="0"/>
      <w:jc w:val="center"/>
    </w:pPr>
    <w:rPr>
      <w:rFonts w:ascii="Times New Roman" w:hAnsi="Times New Roman" w:eastAsia="方正楷体_GBK" w:cs="Times New Roman"/>
    </w:rPr>
  </w:style>
  <w:style w:type="paragraph" w:customStyle="1" w:styleId="11">
    <w:name w:val="List Paragraph"/>
    <w:basedOn w:val="1"/>
    <w:qFormat/>
    <w:uiPriority w:val="34"/>
    <w:pPr>
      <w:ind w:firstLine="420" w:firstLineChars="200"/>
    </w:pPr>
  </w:style>
  <w:style w:type="character" w:customStyle="1" w:styleId="12">
    <w:name w:val="页眉 Char"/>
    <w:basedOn w:val="8"/>
    <w:link w:val="6"/>
    <w:semiHidden/>
    <w:uiPriority w:val="99"/>
    <w:rPr>
      <w:sz w:val="18"/>
      <w:szCs w:val="18"/>
    </w:rPr>
  </w:style>
  <w:style w:type="character" w:customStyle="1" w:styleId="13">
    <w:name w:val="页脚 Char"/>
    <w:basedOn w:val="8"/>
    <w:link w:val="5"/>
    <w:uiPriority w:val="99"/>
    <w:rPr>
      <w:sz w:val="18"/>
      <w:szCs w:val="18"/>
    </w:rPr>
  </w:style>
  <w:style w:type="character" w:customStyle="1" w:styleId="14">
    <w:name w:val="批注文字 Char"/>
    <w:basedOn w:val="8"/>
    <w:link w:val="3"/>
    <w:semiHidden/>
    <w:uiPriority w:val="99"/>
    <w:rPr/>
  </w:style>
  <w:style w:type="character" w:customStyle="1" w:styleId="15">
    <w:name w:val="批注主题 Char"/>
    <w:basedOn w:val="14"/>
    <w:link w:val="2"/>
    <w:semiHidden/>
    <w:uiPriority w:val="99"/>
    <w:rPr>
      <w:b/>
      <w:bCs/>
    </w:rPr>
  </w:style>
  <w:style w:type="character" w:customStyle="1" w:styleId="16">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国家能源局</Company>
  <Pages>4</Pages>
  <Words>238</Words>
  <Characters>1357</Characters>
  <Lines>11</Lines>
  <Paragraphs>3</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2019-04-09T15:06:00Z</dcterms:created>
  <dc:creator>user</dc:creator>
  <cp:lastModifiedBy>editor</cp:lastModifiedBy>
  <cp:lastPrinted>2019-04-08T08:47:00Z</cp:lastPrinted>
  <dcterms:modified xsi:type="dcterms:W3CDTF">2019-04-12T03:08:10Z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